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ascii="仿宋" w:hAnsi="仿宋" w:eastAsia="仿宋" w:cs="仿宋"/>
          <w:b/>
          <w:bCs/>
          <w:sz w:val="32"/>
          <w:szCs w:val="32"/>
          <w:u w:val="none"/>
          <w:lang w:val="en-US" w:eastAsia="zh-CN"/>
        </w:rPr>
      </w:pPr>
      <w:r>
        <w:rPr>
          <w:rFonts w:hint="eastAsia" w:ascii="宋体" w:hAnsi="宋体" w:eastAsia="宋体" w:cs="宋体"/>
          <w:b/>
          <w:bCs/>
          <w:sz w:val="44"/>
          <w:szCs w:val="44"/>
          <w:lang w:val="en-US" w:eastAsia="zh-CN"/>
        </w:rPr>
        <w:t>“学生体育、艺术、科技等特长生认证</w:t>
      </w:r>
      <w:r>
        <w:rPr>
          <w:rFonts w:hint="eastAsia" w:ascii="仿宋" w:hAnsi="仿宋" w:eastAsia="仿宋" w:cs="仿宋"/>
          <w:b/>
          <w:bCs/>
          <w:sz w:val="32"/>
          <w:szCs w:val="32"/>
          <w:u w:val="none"/>
          <w:lang w:val="en-US" w:eastAsia="zh-CN"/>
        </w:rPr>
        <w:t>”</w:t>
      </w:r>
      <w:r>
        <w:rPr>
          <w:rFonts w:hint="eastAsia" w:ascii="宋体" w:hAnsi="宋体" w:eastAsia="宋体" w:cs="宋体"/>
          <w:b/>
          <w:bCs/>
          <w:sz w:val="44"/>
          <w:szCs w:val="44"/>
          <w:lang w:val="en-US" w:eastAsia="zh-CN"/>
        </w:rPr>
        <w:t>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cs="宋体"/>
          <w:b w:val="0"/>
          <w:bCs w:val="0"/>
          <w:sz w:val="28"/>
          <w:szCs w:val="28"/>
          <w:lang w:val="en-US" w:eastAsia="zh-CN"/>
        </w:rPr>
      </w:pPr>
      <w:r>
        <w:rPr>
          <w:rFonts w:hint="eastAsia" w:ascii="宋体" w:hAnsi="宋体" w:eastAsia="宋体" w:cs="宋体"/>
          <w:b/>
          <w:bCs/>
          <w:sz w:val="32"/>
          <w:szCs w:val="32"/>
          <w:lang w:val="en-US" w:eastAsia="zh-CN"/>
        </w:rPr>
        <w:t>一、事项名称：</w:t>
      </w:r>
      <w:r>
        <w:rPr>
          <w:rFonts w:hint="eastAsia" w:ascii="仿宋" w:hAnsi="仿宋" w:eastAsia="仿宋" w:cs="仿宋"/>
          <w:sz w:val="32"/>
          <w:szCs w:val="32"/>
          <w:lang w:val="en-US" w:eastAsia="zh-CN"/>
        </w:rPr>
        <w:t>学生体育、艺术、科技等特长生认证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宋体" w:hAnsi="宋体" w:cs="宋体"/>
          <w:b/>
          <w:bCs/>
          <w:sz w:val="28"/>
          <w:szCs w:val="28"/>
          <w:lang w:val="en-US" w:eastAsia="zh-CN"/>
        </w:rPr>
        <w:t>二、</w:t>
      </w:r>
      <w:r>
        <w:rPr>
          <w:rFonts w:hint="eastAsia" w:ascii="宋体" w:hAnsi="宋体" w:eastAsia="宋体" w:cs="宋体"/>
          <w:b/>
          <w:bCs/>
          <w:sz w:val="32"/>
          <w:szCs w:val="32"/>
          <w:lang w:val="en-US" w:eastAsia="zh-CN"/>
        </w:rPr>
        <w:t>设定依据：</w:t>
      </w:r>
      <w:r>
        <w:rPr>
          <w:rFonts w:hint="eastAsia" w:ascii="仿宋" w:hAnsi="仿宋" w:eastAsia="仿宋" w:cs="仿宋"/>
          <w:sz w:val="32"/>
          <w:szCs w:val="32"/>
          <w:lang w:val="en-US" w:eastAsia="zh-CN"/>
        </w:rPr>
        <w:t>1、</w:t>
      </w:r>
      <w:r>
        <w:rPr>
          <w:rFonts w:hint="eastAsia" w:ascii="仿宋" w:hAnsi="仿宋" w:eastAsia="仿宋" w:cs="仿宋"/>
          <w:sz w:val="32"/>
          <w:szCs w:val="32"/>
        </w:rPr>
        <w:t>《中华人民共和国教育法》第十五条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w:t>
      </w:r>
      <w:r>
        <w:rPr>
          <w:rFonts w:hint="eastAsia" w:ascii="仿宋" w:hAnsi="仿宋" w:eastAsia="仿宋" w:cs="仿宋"/>
          <w:sz w:val="32"/>
          <w:szCs w:val="32"/>
          <w:lang w:val="en-US" w:eastAsia="zh-CN"/>
        </w:rPr>
        <w:t>2、</w:t>
      </w:r>
      <w:r>
        <w:rPr>
          <w:rFonts w:hint="eastAsia" w:ascii="仿宋" w:hAnsi="仿宋" w:eastAsia="仿宋" w:cs="仿宋"/>
          <w:sz w:val="32"/>
          <w:szCs w:val="32"/>
        </w:rPr>
        <w:t>《学校艺术教育工作规程》第八条 小学，初级中学、普通高级中学的艺术课程列入期末考查和毕业考核科目。职业学校和普通高等学校的艺术课程应当进行考试或者考查，考试或者考查方式由学校自行决定。实行学分制的学校应将成绩计入学分；</w:t>
      </w:r>
      <w:r>
        <w:rPr>
          <w:rFonts w:hint="eastAsia" w:ascii="仿宋" w:hAnsi="仿宋" w:eastAsia="仿宋" w:cs="仿宋"/>
          <w:sz w:val="32"/>
          <w:szCs w:val="32"/>
          <w:lang w:val="en-US" w:eastAsia="zh-CN"/>
        </w:rPr>
        <w:t>3、</w:t>
      </w:r>
      <w:r>
        <w:rPr>
          <w:rFonts w:hint="eastAsia" w:ascii="仿宋" w:hAnsi="仿宋" w:eastAsia="仿宋" w:cs="仿宋"/>
          <w:sz w:val="32"/>
          <w:szCs w:val="32"/>
        </w:rPr>
        <w:t>《教育部关于深入推进和进一步完善中考改革的意见》（教育部 教基[2008]6号）第二条 普通高中招生要切实改变将分数简单相加作为高中录取唯一标准的做法，各地应根据本地实际情况，采取划等统招、差额投档、推荐保送、特长录取及必要的面试考查等多种招生办法，逐步扩大普通高中学校招生自主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三、受理对象：</w:t>
      </w:r>
      <w:r>
        <w:rPr>
          <w:rFonts w:hint="eastAsia" w:ascii="仿宋" w:hAnsi="仿宋" w:eastAsia="仿宋" w:cs="仿宋"/>
          <w:sz w:val="32"/>
          <w:szCs w:val="32"/>
          <w:lang w:val="en-US" w:eastAsia="zh-CN"/>
        </w:rPr>
        <w:t>在校学生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b w:val="0"/>
          <w:bCs w:val="0"/>
          <w:sz w:val="32"/>
          <w:szCs w:val="32"/>
          <w:lang w:val="en-US" w:eastAsia="zh-CN"/>
        </w:rPr>
      </w:pPr>
      <w:r>
        <w:rPr>
          <w:rFonts w:hint="eastAsia" w:ascii="宋体" w:hAnsi="宋体" w:eastAsia="宋体" w:cs="宋体"/>
          <w:b/>
          <w:bCs/>
          <w:sz w:val="32"/>
          <w:szCs w:val="32"/>
          <w:lang w:val="en-US" w:eastAsia="zh-CN"/>
        </w:rPr>
        <w:t>四、受理条件：</w:t>
      </w:r>
      <w:r>
        <w:rPr>
          <w:rFonts w:hint="eastAsia" w:ascii="仿宋" w:hAnsi="仿宋" w:eastAsia="仿宋" w:cs="仿宋"/>
          <w:sz w:val="32"/>
          <w:szCs w:val="32"/>
          <w:lang w:val="en-US" w:eastAsia="zh-CN"/>
        </w:rPr>
        <w:t>初中阶段在市教育局主办或认可的体育、艺术、科技比赛中取得过优良成绩，或经市教育局认可的具有某项发展潜能的应届初中毕业生。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五、事项类型：</w:t>
      </w:r>
      <w:r>
        <w:rPr>
          <w:rFonts w:hint="eastAsia" w:ascii="仿宋" w:hAnsi="仿宋" w:eastAsia="仿宋" w:cs="仿宋"/>
          <w:sz w:val="32"/>
          <w:szCs w:val="32"/>
          <w:lang w:val="en-US" w:eastAsia="zh-CN"/>
        </w:rPr>
        <w:t>其他行政权力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六、办理类型：</w:t>
      </w:r>
      <w:r>
        <w:rPr>
          <w:rFonts w:hint="eastAsia" w:ascii="仿宋" w:hAnsi="仿宋" w:eastAsia="仿宋" w:cs="仿宋"/>
          <w:sz w:val="32"/>
          <w:szCs w:val="32"/>
          <w:lang w:val="en-US" w:eastAsia="zh-CN"/>
        </w:rPr>
        <w:t>承诺件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七、办理层级：</w:t>
      </w:r>
      <w:r>
        <w:rPr>
          <w:rFonts w:hint="eastAsia" w:ascii="仿宋" w:hAnsi="仿宋" w:eastAsia="仿宋" w:cs="仿宋"/>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八、办理时限：</w:t>
      </w:r>
      <w:r>
        <w:rPr>
          <w:rFonts w:hint="eastAsia" w:ascii="仿宋" w:hAnsi="仿宋" w:eastAsia="仿宋" w:cs="仿宋"/>
          <w:sz w:val="32"/>
          <w:szCs w:val="32"/>
          <w:lang w:val="en-US" w:eastAsia="zh-CN"/>
        </w:rPr>
        <w:t>承诺时间30天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九、办理地点：</w:t>
      </w:r>
      <w:r>
        <w:rPr>
          <w:rFonts w:hint="eastAsia" w:ascii="仿宋" w:hAnsi="仿宋" w:eastAsia="仿宋" w:cs="仿宋"/>
          <w:sz w:val="32"/>
          <w:szCs w:val="32"/>
          <w:lang w:val="en-US" w:eastAsia="zh-CN"/>
        </w:rPr>
        <w:t>耒阳市西湖南路566号市政务服务中心三楼E 区E24—E27窗口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十、办公时间：</w:t>
      </w:r>
      <w:r>
        <w:rPr>
          <w:rFonts w:hint="eastAsia" w:ascii="仿宋" w:hAnsi="仿宋" w:eastAsia="仿宋" w:cs="仿宋"/>
          <w:sz w:val="32"/>
          <w:szCs w:val="32"/>
          <w:lang w:val="en-US" w:eastAsia="zh-CN"/>
        </w:rPr>
        <w:t>上午：9：00-12:00 下午：13：30-17：00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十一、咨询电话：</w:t>
      </w:r>
      <w:r>
        <w:rPr>
          <w:rFonts w:hint="eastAsia" w:ascii="仿宋" w:hAnsi="仿宋" w:eastAsia="仿宋" w:cs="仿宋"/>
          <w:sz w:val="32"/>
          <w:szCs w:val="32"/>
          <w:lang w:val="en-US" w:eastAsia="zh-CN"/>
        </w:rPr>
        <w:t>0734-4758185  0734-4758186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十二、监督电话：</w:t>
      </w:r>
      <w:r>
        <w:rPr>
          <w:rFonts w:hint="eastAsia" w:ascii="仿宋" w:hAnsi="仿宋" w:eastAsia="仿宋" w:cs="仿宋"/>
          <w:sz w:val="32"/>
          <w:szCs w:val="32"/>
          <w:lang w:val="en-US" w:eastAsia="zh-CN"/>
        </w:rPr>
        <w:t>0734-4758366  12345政府服务热线</w:t>
      </w:r>
    </w:p>
    <w:p>
      <w:pPr>
        <w:numPr>
          <w:ilvl w:val="0"/>
          <w:numId w:val="0"/>
        </w:numPr>
        <w:jc w:val="left"/>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十三、收费依据及标准：</w:t>
      </w:r>
      <w:r>
        <w:rPr>
          <w:rFonts w:hint="eastAsia" w:ascii="仿宋" w:hAnsi="仿宋" w:eastAsia="仿宋" w:cs="仿宋"/>
          <w:sz w:val="32"/>
          <w:szCs w:val="32"/>
          <w:lang w:val="en-US" w:eastAsia="zh-CN"/>
        </w:rPr>
        <w:t>不收费</w:t>
      </w:r>
    </w:p>
    <w:p>
      <w:pPr>
        <w:numPr>
          <w:ilvl w:val="0"/>
          <w:numId w:val="0"/>
        </w:numPr>
        <w:jc w:val="left"/>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十四、申请材料：</w:t>
      </w:r>
    </w:p>
    <w:tbl>
      <w:tblPr>
        <w:tblStyle w:val="4"/>
        <w:tblW w:w="94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478"/>
        <w:gridCol w:w="2108"/>
        <w:gridCol w:w="1095"/>
        <w:gridCol w:w="1440"/>
        <w:gridCol w:w="1065"/>
        <w:gridCol w:w="2160"/>
        <w:gridCol w:w="10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15" w:hRule="atLeast"/>
          <w:tblHeader/>
          <w:jc w:val="center"/>
        </w:trPr>
        <w:tc>
          <w:tcPr>
            <w:tcW w:w="478"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序号</w:t>
            </w:r>
          </w:p>
        </w:tc>
        <w:tc>
          <w:tcPr>
            <w:tcW w:w="2108"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申请材料</w:t>
            </w:r>
          </w:p>
        </w:tc>
        <w:tc>
          <w:tcPr>
            <w:tcW w:w="1095" w:type="dxa"/>
            <w:tcBorders>
              <w:top w:val="single" w:color="auto" w:sz="12" w:space="0"/>
            </w:tcBorders>
            <w:shd w:val="clear" w:color="auto" w:fill="F1F1F1"/>
            <w:noWrap w:val="0"/>
            <w:vAlign w:val="center"/>
          </w:tcPr>
          <w:p>
            <w:pPr>
              <w:widowControl/>
              <w:spacing w:line="300" w:lineRule="exact"/>
              <w:jc w:val="center"/>
              <w:rPr>
                <w:rFonts w:hint="default" w:ascii="仿宋_GB2312" w:hAnsi="宋体" w:eastAsia="仿宋_GB2312"/>
                <w:b/>
                <w:bCs/>
                <w:color w:val="000000"/>
                <w:kern w:val="0"/>
                <w:szCs w:val="21"/>
                <w:lang w:val="en-US" w:eastAsia="zh-CN"/>
              </w:rPr>
            </w:pPr>
            <w:r>
              <w:rPr>
                <w:rFonts w:hint="eastAsia" w:ascii="仿宋_GB2312" w:hAnsi="宋体" w:eastAsia="仿宋_GB2312"/>
                <w:b/>
                <w:bCs/>
                <w:color w:val="000000"/>
                <w:kern w:val="0"/>
                <w:szCs w:val="21"/>
                <w:lang w:val="en-US" w:eastAsia="zh-CN"/>
              </w:rPr>
              <w:t>材料来源</w:t>
            </w:r>
          </w:p>
        </w:tc>
        <w:tc>
          <w:tcPr>
            <w:tcW w:w="1440"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材料规格</w:t>
            </w:r>
          </w:p>
        </w:tc>
        <w:tc>
          <w:tcPr>
            <w:tcW w:w="1065"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份数</w:t>
            </w:r>
          </w:p>
        </w:tc>
        <w:tc>
          <w:tcPr>
            <w:tcW w:w="2160"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材料要求</w:t>
            </w:r>
          </w:p>
        </w:tc>
        <w:tc>
          <w:tcPr>
            <w:tcW w:w="1070" w:type="dxa"/>
            <w:tcBorders>
              <w:top w:val="single" w:color="auto" w:sz="12" w:space="0"/>
            </w:tcBorders>
            <w:shd w:val="clear" w:color="auto" w:fill="F1F1F1"/>
            <w:noWrap w:val="0"/>
            <w:vAlign w:val="center"/>
          </w:tcPr>
          <w:p>
            <w:pPr>
              <w:widowControl/>
              <w:spacing w:line="300" w:lineRule="exact"/>
              <w:jc w:val="center"/>
              <w:rPr>
                <w:rFonts w:hint="eastAsia" w:ascii="仿宋_GB2312" w:hAnsi="宋体" w:eastAsia="仿宋_GB2312"/>
                <w:b/>
                <w:bCs/>
                <w:color w:val="000000"/>
                <w:kern w:val="0"/>
                <w:szCs w:val="21"/>
                <w:lang w:val="en-US" w:eastAsia="zh-CN"/>
              </w:rPr>
            </w:pPr>
            <w:r>
              <w:rPr>
                <w:rFonts w:hint="eastAsia" w:ascii="仿宋_GB2312" w:hAnsi="宋体" w:eastAsia="仿宋_GB2312"/>
                <w:b/>
                <w:bCs/>
                <w:color w:val="000000"/>
                <w:kern w:val="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088" w:hRule="atLeast"/>
          <w:jc w:val="center"/>
        </w:trPr>
        <w:tc>
          <w:tcPr>
            <w:tcW w:w="478" w:type="dxa"/>
            <w:noWrap w:val="0"/>
            <w:vAlign w:val="center"/>
          </w:tcPr>
          <w:p>
            <w:pPr>
              <w:widowControl/>
              <w:jc w:val="center"/>
              <w:rPr>
                <w:rFonts w:hint="eastAsia" w:ascii="楷体" w:hAnsi="楷体" w:eastAsia="楷体" w:cs="楷体"/>
                <w:szCs w:val="24"/>
              </w:rPr>
            </w:pPr>
            <w:r>
              <w:rPr>
                <w:rFonts w:hint="eastAsia" w:ascii="楷体" w:hAnsi="楷体" w:eastAsia="楷体" w:cs="楷体"/>
                <w:szCs w:val="24"/>
              </w:rPr>
              <w:t>1</w:t>
            </w:r>
          </w:p>
        </w:tc>
        <w:tc>
          <w:tcPr>
            <w:tcW w:w="2108" w:type="dxa"/>
            <w:noWrap w:val="0"/>
            <w:vAlign w:val="center"/>
          </w:tcPr>
          <w:p>
            <w:pPr>
              <w:widowControl/>
              <w:jc w:val="center"/>
              <w:rPr>
                <w:rFonts w:hint="default" w:ascii="楷体" w:hAnsi="楷体" w:eastAsia="楷体" w:cs="楷体"/>
                <w:szCs w:val="24"/>
                <w:lang w:val="en-US" w:eastAsia="zh-CN"/>
              </w:rPr>
            </w:pPr>
            <w:r>
              <w:rPr>
                <w:rFonts w:hint="default" w:ascii="楷体" w:hAnsi="楷体" w:eastAsia="楷体" w:cs="楷体"/>
                <w:szCs w:val="24"/>
                <w:lang w:val="en-US" w:eastAsia="zh-CN"/>
              </w:rPr>
              <w:t>耒阳市体育、艺术、科技特长生认定</w:t>
            </w:r>
            <w:r>
              <w:rPr>
                <w:rFonts w:hint="eastAsia" w:ascii="楷体" w:hAnsi="楷体" w:eastAsia="楷体" w:cs="楷体"/>
                <w:szCs w:val="24"/>
                <w:lang w:val="en-US" w:eastAsia="zh-CN"/>
              </w:rPr>
              <w:t>申请</w:t>
            </w:r>
            <w:r>
              <w:rPr>
                <w:rFonts w:hint="default" w:ascii="楷体" w:hAnsi="楷体" w:eastAsia="楷体" w:cs="楷体"/>
                <w:szCs w:val="24"/>
                <w:lang w:val="en-US" w:eastAsia="zh-CN"/>
              </w:rPr>
              <w:t>表</w:t>
            </w:r>
          </w:p>
        </w:tc>
        <w:tc>
          <w:tcPr>
            <w:tcW w:w="1095" w:type="dxa"/>
            <w:noWrap w:val="0"/>
            <w:vAlign w:val="center"/>
          </w:tcPr>
          <w:p>
            <w:pPr>
              <w:widowControl/>
              <w:jc w:val="center"/>
              <w:rPr>
                <w:rFonts w:hint="default" w:ascii="楷体" w:hAnsi="楷体" w:eastAsia="楷体" w:cs="楷体"/>
                <w:szCs w:val="24"/>
                <w:lang w:val="en-US" w:eastAsia="zh-CN"/>
              </w:rPr>
            </w:pPr>
          </w:p>
        </w:tc>
        <w:tc>
          <w:tcPr>
            <w:tcW w:w="1440" w:type="dxa"/>
            <w:noWrap w:val="0"/>
            <w:vAlign w:val="center"/>
          </w:tcPr>
          <w:p>
            <w:pPr>
              <w:widowControl/>
              <w:jc w:val="center"/>
              <w:rPr>
                <w:rFonts w:hint="default" w:ascii="楷体" w:hAnsi="楷体" w:eastAsia="楷体" w:cs="楷体"/>
                <w:szCs w:val="24"/>
                <w:lang w:val="en-US" w:eastAsia="zh-CN"/>
              </w:rPr>
            </w:pPr>
          </w:p>
        </w:tc>
        <w:tc>
          <w:tcPr>
            <w:tcW w:w="1065"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1</w:t>
            </w:r>
          </w:p>
        </w:tc>
        <w:tc>
          <w:tcPr>
            <w:tcW w:w="2160"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原件</w:t>
            </w:r>
          </w:p>
        </w:tc>
        <w:tc>
          <w:tcPr>
            <w:tcW w:w="1070" w:type="dxa"/>
            <w:noWrap w:val="0"/>
            <w:vAlign w:val="center"/>
          </w:tcPr>
          <w:p>
            <w:pPr>
              <w:widowControl/>
              <w:jc w:val="center"/>
              <w:rPr>
                <w:rFonts w:hint="eastAsia" w:ascii="楷体" w:hAnsi="楷体" w:eastAsia="楷体" w:cs="楷体"/>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19" w:hRule="atLeast"/>
          <w:jc w:val="center"/>
        </w:trPr>
        <w:tc>
          <w:tcPr>
            <w:tcW w:w="478" w:type="dxa"/>
            <w:noWrap w:val="0"/>
            <w:vAlign w:val="center"/>
          </w:tcPr>
          <w:p>
            <w:pPr>
              <w:widowControl/>
              <w:jc w:val="center"/>
              <w:rPr>
                <w:rFonts w:hint="eastAsia" w:ascii="楷体" w:hAnsi="楷体" w:eastAsia="楷体" w:cs="楷体"/>
                <w:szCs w:val="24"/>
                <w:lang w:val="en-US" w:eastAsia="zh-CN"/>
              </w:rPr>
            </w:pPr>
            <w:r>
              <w:rPr>
                <w:rFonts w:hint="eastAsia" w:ascii="楷体" w:hAnsi="楷体" w:eastAsia="楷体" w:cs="楷体"/>
                <w:szCs w:val="24"/>
                <w:lang w:val="en-US" w:eastAsia="zh-CN"/>
              </w:rPr>
              <w:t>2</w:t>
            </w:r>
          </w:p>
        </w:tc>
        <w:tc>
          <w:tcPr>
            <w:tcW w:w="2108"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耒阳市</w:t>
            </w:r>
            <w:r>
              <w:rPr>
                <w:rFonts w:hint="default" w:ascii="楷体" w:hAnsi="楷体" w:eastAsia="楷体" w:cs="楷体"/>
                <w:szCs w:val="24"/>
                <w:lang w:val="en-US" w:eastAsia="zh-CN"/>
              </w:rPr>
              <w:t>具备特长生资格学生花名册</w:t>
            </w:r>
          </w:p>
        </w:tc>
        <w:tc>
          <w:tcPr>
            <w:tcW w:w="1095" w:type="dxa"/>
            <w:noWrap w:val="0"/>
            <w:vAlign w:val="center"/>
          </w:tcPr>
          <w:p>
            <w:pPr>
              <w:widowControl/>
              <w:jc w:val="center"/>
              <w:rPr>
                <w:rFonts w:hint="eastAsia" w:ascii="楷体" w:hAnsi="楷体" w:eastAsia="楷体" w:cs="楷体"/>
                <w:szCs w:val="24"/>
              </w:rPr>
            </w:pPr>
          </w:p>
        </w:tc>
        <w:tc>
          <w:tcPr>
            <w:tcW w:w="1440" w:type="dxa"/>
            <w:noWrap w:val="0"/>
            <w:vAlign w:val="center"/>
          </w:tcPr>
          <w:p>
            <w:pPr>
              <w:widowControl/>
              <w:jc w:val="center"/>
              <w:rPr>
                <w:rFonts w:hint="eastAsia" w:ascii="楷体" w:hAnsi="楷体" w:eastAsia="楷体" w:cs="楷体"/>
                <w:szCs w:val="24"/>
              </w:rPr>
            </w:pPr>
          </w:p>
        </w:tc>
        <w:tc>
          <w:tcPr>
            <w:tcW w:w="1065"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1</w:t>
            </w:r>
          </w:p>
        </w:tc>
        <w:tc>
          <w:tcPr>
            <w:tcW w:w="2160"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 xml:space="preserve"> </w:t>
            </w:r>
          </w:p>
        </w:tc>
        <w:tc>
          <w:tcPr>
            <w:tcW w:w="1070" w:type="dxa"/>
            <w:noWrap w:val="0"/>
            <w:vAlign w:val="center"/>
          </w:tcPr>
          <w:p>
            <w:pPr>
              <w:widowControl/>
              <w:jc w:val="center"/>
              <w:rPr>
                <w:rFonts w:hint="eastAsia" w:ascii="楷体" w:hAnsi="楷体" w:eastAsia="楷体" w:cs="楷体"/>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19" w:hRule="atLeast"/>
          <w:jc w:val="center"/>
        </w:trPr>
        <w:tc>
          <w:tcPr>
            <w:tcW w:w="478" w:type="dxa"/>
            <w:noWrap w:val="0"/>
            <w:vAlign w:val="center"/>
          </w:tcPr>
          <w:p>
            <w:pPr>
              <w:widowControl/>
              <w:jc w:val="center"/>
              <w:rPr>
                <w:rFonts w:hint="eastAsia" w:ascii="楷体" w:hAnsi="楷体" w:eastAsia="楷体" w:cs="楷体"/>
                <w:szCs w:val="24"/>
                <w:lang w:eastAsia="zh-CN"/>
              </w:rPr>
            </w:pPr>
            <w:r>
              <w:rPr>
                <w:rFonts w:hint="eastAsia" w:ascii="楷体" w:hAnsi="楷体" w:eastAsia="楷体" w:cs="楷体"/>
                <w:szCs w:val="24"/>
                <w:lang w:val="en-US" w:eastAsia="zh-CN"/>
              </w:rPr>
              <w:t>3</w:t>
            </w:r>
          </w:p>
        </w:tc>
        <w:tc>
          <w:tcPr>
            <w:tcW w:w="2108"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耒阳市</w:t>
            </w:r>
            <w:r>
              <w:rPr>
                <w:rFonts w:hint="default" w:ascii="楷体" w:hAnsi="楷体" w:eastAsia="楷体" w:cs="楷体"/>
                <w:szCs w:val="24"/>
                <w:lang w:val="en-US" w:eastAsia="zh-CN"/>
              </w:rPr>
              <w:t>特长生预录花名册</w:t>
            </w:r>
            <w:r>
              <w:rPr>
                <w:rFonts w:hint="eastAsia" w:ascii="楷体" w:hAnsi="楷体" w:eastAsia="楷体" w:cs="楷体"/>
                <w:szCs w:val="24"/>
                <w:lang w:val="en-US" w:eastAsia="zh-CN"/>
              </w:rPr>
              <w:t xml:space="preserve"> </w:t>
            </w:r>
          </w:p>
        </w:tc>
        <w:tc>
          <w:tcPr>
            <w:tcW w:w="1095" w:type="dxa"/>
            <w:noWrap w:val="0"/>
            <w:vAlign w:val="center"/>
          </w:tcPr>
          <w:p>
            <w:pPr>
              <w:widowControl/>
              <w:jc w:val="center"/>
              <w:rPr>
                <w:rFonts w:hint="eastAsia" w:ascii="楷体" w:hAnsi="楷体" w:eastAsia="楷体" w:cs="楷体"/>
                <w:szCs w:val="24"/>
                <w:lang w:val="en-US" w:eastAsia="zh-CN"/>
              </w:rPr>
            </w:pPr>
          </w:p>
        </w:tc>
        <w:tc>
          <w:tcPr>
            <w:tcW w:w="1440" w:type="dxa"/>
            <w:noWrap w:val="0"/>
            <w:vAlign w:val="center"/>
          </w:tcPr>
          <w:p>
            <w:pPr>
              <w:widowControl/>
              <w:jc w:val="center"/>
              <w:rPr>
                <w:rFonts w:hint="eastAsia" w:ascii="楷体" w:hAnsi="楷体" w:eastAsia="楷体" w:cs="楷体"/>
                <w:szCs w:val="24"/>
                <w:lang w:val="en-US" w:eastAsia="zh-CN"/>
              </w:rPr>
            </w:pPr>
          </w:p>
        </w:tc>
        <w:tc>
          <w:tcPr>
            <w:tcW w:w="1065"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1</w:t>
            </w:r>
          </w:p>
        </w:tc>
        <w:tc>
          <w:tcPr>
            <w:tcW w:w="2160" w:type="dxa"/>
            <w:noWrap w:val="0"/>
            <w:vAlign w:val="center"/>
          </w:tcPr>
          <w:p>
            <w:pPr>
              <w:widowControl/>
              <w:jc w:val="center"/>
              <w:rPr>
                <w:rFonts w:hint="default" w:ascii="楷体" w:hAnsi="楷体" w:eastAsia="楷体" w:cs="楷体"/>
                <w:szCs w:val="24"/>
                <w:lang w:val="en-US" w:eastAsia="zh-CN"/>
              </w:rPr>
            </w:pPr>
          </w:p>
        </w:tc>
        <w:tc>
          <w:tcPr>
            <w:tcW w:w="1070" w:type="dxa"/>
            <w:noWrap w:val="0"/>
            <w:vAlign w:val="center"/>
          </w:tcPr>
          <w:p>
            <w:pPr>
              <w:widowControl/>
              <w:jc w:val="center"/>
              <w:rPr>
                <w:rFonts w:hint="default" w:ascii="楷体" w:hAnsi="楷体" w:eastAsia="楷体" w:cs="楷体"/>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76" w:hRule="atLeast"/>
          <w:jc w:val="center"/>
        </w:trPr>
        <w:tc>
          <w:tcPr>
            <w:tcW w:w="478" w:type="dxa"/>
            <w:noWrap w:val="0"/>
            <w:vAlign w:val="center"/>
          </w:tcPr>
          <w:p>
            <w:pPr>
              <w:widowControl/>
              <w:jc w:val="center"/>
              <w:rPr>
                <w:rFonts w:hint="default" w:ascii="楷体" w:hAnsi="楷体" w:eastAsia="楷体" w:cs="楷体"/>
                <w:szCs w:val="24"/>
                <w:lang w:val="en-US" w:eastAsia="zh-CN"/>
              </w:rPr>
            </w:pPr>
            <w:r>
              <w:rPr>
                <w:rFonts w:hint="eastAsia" w:ascii="楷体" w:hAnsi="楷体" w:eastAsia="楷体" w:cs="楷体"/>
                <w:szCs w:val="24"/>
                <w:lang w:val="en-US" w:eastAsia="zh-CN"/>
              </w:rPr>
              <w:t>4</w:t>
            </w:r>
          </w:p>
        </w:tc>
        <w:tc>
          <w:tcPr>
            <w:tcW w:w="2108" w:type="dxa"/>
            <w:noWrap w:val="0"/>
            <w:vAlign w:val="center"/>
          </w:tcPr>
          <w:p>
            <w:pPr>
              <w:widowControl/>
              <w:jc w:val="center"/>
              <w:rPr>
                <w:rFonts w:hint="default" w:ascii="楷体" w:hAnsi="楷体" w:eastAsia="楷体" w:cs="楷体"/>
                <w:szCs w:val="24"/>
                <w:lang w:val="en-US" w:eastAsia="zh-CN"/>
              </w:rPr>
            </w:pPr>
            <w:r>
              <w:rPr>
                <w:rFonts w:hint="default" w:ascii="楷体" w:hAnsi="楷体" w:eastAsia="楷体" w:cs="楷体"/>
                <w:szCs w:val="24"/>
                <w:lang w:val="en-US" w:eastAsia="zh-CN"/>
              </w:rPr>
              <w:t>获奖证书原件（复印件</w:t>
            </w:r>
            <w:r>
              <w:rPr>
                <w:rFonts w:hint="eastAsia" w:ascii="楷体" w:hAnsi="楷体" w:eastAsia="楷体" w:cs="楷体"/>
                <w:szCs w:val="24"/>
                <w:lang w:val="en-US" w:eastAsia="zh-CN"/>
              </w:rPr>
              <w:t>）</w:t>
            </w:r>
          </w:p>
        </w:tc>
        <w:tc>
          <w:tcPr>
            <w:tcW w:w="1095" w:type="dxa"/>
            <w:noWrap w:val="0"/>
            <w:vAlign w:val="center"/>
          </w:tcPr>
          <w:p>
            <w:pPr>
              <w:widowControl/>
              <w:jc w:val="center"/>
              <w:rPr>
                <w:rFonts w:hint="eastAsia" w:ascii="楷体" w:hAnsi="楷体" w:eastAsia="楷体" w:cs="楷体"/>
                <w:szCs w:val="24"/>
                <w:lang w:val="en-US" w:eastAsia="zh-CN"/>
              </w:rPr>
            </w:pPr>
          </w:p>
        </w:tc>
        <w:tc>
          <w:tcPr>
            <w:tcW w:w="1440" w:type="dxa"/>
            <w:noWrap w:val="0"/>
            <w:vAlign w:val="center"/>
          </w:tcPr>
          <w:p>
            <w:pPr>
              <w:widowControl/>
              <w:jc w:val="center"/>
              <w:rPr>
                <w:rFonts w:hint="eastAsia" w:ascii="楷体" w:hAnsi="楷体" w:eastAsia="楷体" w:cs="楷体"/>
                <w:szCs w:val="24"/>
                <w:lang w:val="en-US" w:eastAsia="zh-CN"/>
              </w:rPr>
            </w:pPr>
          </w:p>
        </w:tc>
        <w:tc>
          <w:tcPr>
            <w:tcW w:w="1065" w:type="dxa"/>
            <w:noWrap w:val="0"/>
            <w:vAlign w:val="center"/>
          </w:tcPr>
          <w:p>
            <w:pPr>
              <w:widowControl/>
              <w:jc w:val="center"/>
              <w:rPr>
                <w:rFonts w:hint="eastAsia" w:ascii="楷体" w:hAnsi="楷体" w:eastAsia="楷体" w:cs="楷体"/>
                <w:szCs w:val="24"/>
                <w:lang w:val="en-US" w:eastAsia="zh-CN"/>
              </w:rPr>
            </w:pPr>
          </w:p>
        </w:tc>
        <w:tc>
          <w:tcPr>
            <w:tcW w:w="2160" w:type="dxa"/>
            <w:noWrap w:val="0"/>
            <w:vAlign w:val="center"/>
          </w:tcPr>
          <w:p>
            <w:pPr>
              <w:widowControl/>
              <w:jc w:val="center"/>
              <w:rPr>
                <w:rFonts w:hint="default" w:ascii="楷体" w:hAnsi="楷体" w:eastAsia="楷体" w:cs="楷体"/>
                <w:szCs w:val="24"/>
                <w:lang w:val="en-US" w:eastAsia="zh-CN"/>
              </w:rPr>
            </w:pPr>
          </w:p>
        </w:tc>
        <w:tc>
          <w:tcPr>
            <w:tcW w:w="1070" w:type="dxa"/>
            <w:noWrap w:val="0"/>
            <w:vAlign w:val="center"/>
          </w:tcPr>
          <w:p>
            <w:pPr>
              <w:widowControl/>
              <w:jc w:val="center"/>
              <w:rPr>
                <w:rFonts w:hint="default" w:ascii="楷体" w:hAnsi="楷体" w:eastAsia="楷体" w:cs="楷体"/>
                <w:szCs w:val="24"/>
                <w:lang w:val="en-US" w:eastAsia="zh-CN"/>
              </w:rPr>
            </w:pPr>
          </w:p>
        </w:tc>
      </w:tr>
    </w:tbl>
    <w:p>
      <w:pPr>
        <w:numPr>
          <w:ilvl w:val="0"/>
          <w:numId w:val="0"/>
        </w:numPr>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十五、办事流程：</w:t>
      </w:r>
    </w:p>
    <w:p>
      <w:pPr>
        <w:widowControl w:val="0"/>
        <w:numPr>
          <w:ilvl w:val="0"/>
          <w:numId w:val="0"/>
        </w:numPr>
        <w:jc w:val="left"/>
        <w:rPr>
          <w:rFonts w:hint="eastAsia" w:ascii="黑体" w:hAnsi="黑体" w:eastAsia="宋体" w:cs="宋体"/>
          <w:bCs/>
          <w:sz w:val="24"/>
          <w:szCs w:val="24"/>
          <w:lang w:val="en-US" w:eastAsia="zh-CN"/>
        </w:rPr>
      </w:pPr>
      <w:bookmarkStart w:id="0" w:name="_GoBack"/>
      <w:bookmarkEnd w:id="0"/>
      <w:r>
        <w:rPr>
          <w:sz w:val="24"/>
        </w:rPr>
        <mc:AlternateContent>
          <mc:Choice Requires="wps">
            <w:drawing>
              <wp:anchor distT="0" distB="0" distL="114300" distR="114300" simplePos="0" relativeHeight="251660288" behindDoc="0" locked="0" layoutInCell="1" allowOverlap="1">
                <wp:simplePos x="0" y="0"/>
                <wp:positionH relativeFrom="column">
                  <wp:posOffset>1137920</wp:posOffset>
                </wp:positionH>
                <wp:positionV relativeFrom="paragraph">
                  <wp:posOffset>1905</wp:posOffset>
                </wp:positionV>
                <wp:extent cx="3703955" cy="523875"/>
                <wp:effectExtent l="4445" t="5080" r="6350" b="4445"/>
                <wp:wrapNone/>
                <wp:docPr id="242" name="文本框 242"/>
                <wp:cNvGraphicFramePr/>
                <a:graphic xmlns:a="http://schemas.openxmlformats.org/drawingml/2006/main">
                  <a:graphicData uri="http://schemas.microsoft.com/office/word/2010/wordprocessingShape">
                    <wps:wsp>
                      <wps:cNvSpPr txBox="1"/>
                      <wps:spPr>
                        <a:xfrm>
                          <a:off x="0" y="0"/>
                          <a:ext cx="3703955"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市局出台相关政策各招生学校公布提前自主招收特长生工作办法并网上公示</w:t>
                            </w:r>
                          </w:p>
                        </w:txbxContent>
                      </wps:txbx>
                      <wps:bodyPr upright="1"/>
                    </wps:wsp>
                  </a:graphicData>
                </a:graphic>
              </wp:anchor>
            </w:drawing>
          </mc:Choice>
          <mc:Fallback>
            <w:pict>
              <v:shape id="_x0000_s1026" o:spid="_x0000_s1026" o:spt="202" type="#_x0000_t202" style="position:absolute;left:0pt;margin-left:89.6pt;margin-top:0.15pt;height:41.25pt;width:291.65pt;z-index:251660288;mso-width-relative:page;mso-height-relative:page;" fillcolor="#FFFFFF" filled="t" stroked="t" coordsize="21600,21600" o:gfxdata="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EKMgrZAAAACwEAAA8AAAAAAAAA&#10;AQAgAAAAIgAAAGRycy9kb3ducmV2LnhtbFBLAQIUABQAAAAIAIdO4kBUSxvoEAIAADoEAAAOAAAA&#10;AAAAAAEAIAAAACgBAABkcnMvZTJvRG9jLnhtbFBLBQYAAAAABgAGAFkBAACqBQAAAAA=&#10;">
                <v:fill on="t" focussize="0,0"/>
                <v:stroke color="#000000" joinstyle="miter"/>
                <v:imagedata o:title=""/>
                <o:lock v:ext="edit" aspectratio="f"/>
                <v:textbo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市局出台相关政策各招生学校公布提前自主招收特长生工作办法并网上公示</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794385</wp:posOffset>
                </wp:positionH>
                <wp:positionV relativeFrom="paragraph">
                  <wp:posOffset>36195</wp:posOffset>
                </wp:positionV>
                <wp:extent cx="19685" cy="2865120"/>
                <wp:effectExtent l="29845" t="0" r="64770" b="11430"/>
                <wp:wrapNone/>
                <wp:docPr id="248" name="直接连接符 248"/>
                <wp:cNvGraphicFramePr/>
                <a:graphic xmlns:a="http://schemas.openxmlformats.org/drawingml/2006/main">
                  <a:graphicData uri="http://schemas.microsoft.com/office/word/2010/wordprocessingShape">
                    <wps:wsp>
                      <wps:cNvCnPr/>
                      <wps:spPr>
                        <a:xfrm>
                          <a:off x="0" y="0"/>
                          <a:ext cx="19685" cy="28651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62.55pt;margin-top:2.85pt;height:225.6pt;width:1.55pt;z-index:251663360;mso-width-relative:page;mso-height-relative:page;" filled="f" stroked="t" coordsize="21600,21600" o:gfxdata="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OtvXZAAAACQEAAA8AAAAAAAAAAQAgAAAAIgAAAGRycy9k&#10;b3ducmV2LnhtbFBLAQIUABQAAAAIAIdO4kD277VWAQIAAO0DAAAOAAAAAAAAAAEAIAAAACgBAABk&#10;cnMvZTJvRG9jLnhtbFBLBQYAAAAABgAGAFkBAACbBQAAAAA=&#10;">
                <v:fill on="f" focussize="0,0"/>
                <v:stroke color="#000000" joinstyle="round" endarrow="open"/>
                <v:imagedata o:title=""/>
                <o:lock v:ext="edit" aspectratio="f"/>
              </v:line>
            </w:pict>
          </mc:Fallback>
        </mc:AlternateContent>
      </w:r>
      <w:r>
        <w:rPr>
          <w:rFonts w:hint="eastAsia" w:ascii="黑体" w:hAnsi="黑体" w:eastAsia="宋体" w:cs="宋体"/>
          <w:bCs/>
          <w:sz w:val="24"/>
          <w:szCs w:val="24"/>
          <w:lang w:val="en-US" w:eastAsia="zh-CN"/>
        </w:rPr>
        <w:t xml:space="preserve">                                                              </w:t>
      </w: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1128395</wp:posOffset>
                </wp:positionH>
                <wp:positionV relativeFrom="paragraph">
                  <wp:posOffset>62865</wp:posOffset>
                </wp:positionV>
                <wp:extent cx="3666490" cy="343535"/>
                <wp:effectExtent l="4445" t="5080" r="5715" b="13335"/>
                <wp:wrapNone/>
                <wp:docPr id="241" name="文本框 241"/>
                <wp:cNvGraphicFramePr/>
                <a:graphic xmlns:a="http://schemas.openxmlformats.org/drawingml/2006/main">
                  <a:graphicData uri="http://schemas.microsoft.com/office/word/2010/wordprocessingShape">
                    <wps:wsp>
                      <wps:cNvSpPr txBox="1"/>
                      <wps:spPr>
                        <a:xfrm>
                          <a:off x="0" y="0"/>
                          <a:ext cx="3666490"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特长生向所在学校领取并填写相关表格</w:t>
                            </w:r>
                          </w:p>
                        </w:txbxContent>
                      </wps:txbx>
                      <wps:bodyPr upright="1"/>
                    </wps:wsp>
                  </a:graphicData>
                </a:graphic>
              </wp:anchor>
            </w:drawing>
          </mc:Choice>
          <mc:Fallback>
            <w:pict>
              <v:shape id="_x0000_s1026" o:spid="_x0000_s1026" o:spt="202" type="#_x0000_t202" style="position:absolute;left:0pt;margin-left:88.85pt;margin-top:4.95pt;height:27.05pt;width:288.7pt;z-index:251661312;mso-width-relative:page;mso-height-relative:page;" fillcolor="#FFFFFF" filled="t" stroked="t" coordsize="21600,21600" o:gfxdata="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ndbO9oAAAALAQAADwAAAAAAAAABACAA&#10;AAAiAAAAZHJzL2Rvd25yZXYueG1sUEsBAhQAFAAAAAgAh07iQAk9WFcLAgAAOgQAAA4AAAAAAAAA&#10;AQAgAAAAKQEAAGRycy9lMm9Eb2MueG1sUEsFBgAAAAAGAAYAWQEAAKYFAAAAAA==&#10;">
                <v:fill on="t" focussize="0,0"/>
                <v:stroke color="#000000" joinstyle="miter"/>
                <v:imagedata o:title=""/>
                <o:lock v:ext="edit" aspectratio="f"/>
                <v:textbo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特长生向所在学校领取并填写相关表格</w:t>
                      </w:r>
                    </w:p>
                  </w:txbxContent>
                </v:textbox>
              </v:shape>
            </w:pict>
          </mc:Fallback>
        </mc:AlternateContent>
      </w: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1156970</wp:posOffset>
                </wp:positionH>
                <wp:positionV relativeFrom="paragraph">
                  <wp:posOffset>76200</wp:posOffset>
                </wp:positionV>
                <wp:extent cx="3714115" cy="488315"/>
                <wp:effectExtent l="5080" t="4445" r="14605" b="21590"/>
                <wp:wrapNone/>
                <wp:docPr id="245" name="文本框 245"/>
                <wp:cNvGraphicFramePr/>
                <a:graphic xmlns:a="http://schemas.openxmlformats.org/drawingml/2006/main">
                  <a:graphicData uri="http://schemas.microsoft.com/office/word/2010/wordprocessingShape">
                    <wps:wsp>
                      <wps:cNvSpPr txBox="1"/>
                      <wps:spPr>
                        <a:xfrm>
                          <a:off x="0" y="0"/>
                          <a:ext cx="371411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学校组织专业测试并将通过专业测试、拟入围但无相应获证书的学生名单报市教育局审批股</w:t>
                            </w:r>
                          </w:p>
                        </w:txbxContent>
                      </wps:txbx>
                      <wps:bodyPr upright="1"/>
                    </wps:wsp>
                  </a:graphicData>
                </a:graphic>
              </wp:anchor>
            </w:drawing>
          </mc:Choice>
          <mc:Fallback>
            <w:pict>
              <v:shape id="_x0000_s1026" o:spid="_x0000_s1026" o:spt="202" type="#_x0000_t202" style="position:absolute;left:0pt;margin-left:91.1pt;margin-top:6pt;height:38.45pt;width:292.45pt;z-index:251662336;mso-width-relative:page;mso-height-relative:page;" fillcolor="#FFFFFF" filled="t" stroked="t" coordsize="21600,21600" o:gfxdata="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v4n5doAAAALAQAADwAAAAAAAAAB&#10;ACAAAAAiAAAAZHJzL2Rvd25yZXYueG1sUEsBAhQAFAAAAAgAh07iQNPvOm8OAgAAOgQAAA4AAAAA&#10;AAAAAQAgAAAAKQEAAGRycy9lMm9Eb2MueG1sUEsFBgAAAAAGAAYAWQEAAKkFAAAAAA==&#10;">
                <v:fill on="t" focussize="0,0"/>
                <v:stroke color="#000000" joinstyle="miter"/>
                <v:imagedata o:title=""/>
                <o:lock v:ext="edit" aspectratio="f"/>
                <v:textbo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学校组织专业测试并将通过专业测试、拟入围但无相应获证书的学生名单报市教育局审批股</w:t>
                      </w:r>
                    </w:p>
                  </w:txbxContent>
                </v:textbox>
              </v:shape>
            </w:pict>
          </mc:Fallback>
        </mc:AlternateContent>
      </w: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1147445</wp:posOffset>
                </wp:positionH>
                <wp:positionV relativeFrom="paragraph">
                  <wp:posOffset>118110</wp:posOffset>
                </wp:positionV>
                <wp:extent cx="3646805" cy="532765"/>
                <wp:effectExtent l="4445" t="4445" r="6350" b="15240"/>
                <wp:wrapNone/>
                <wp:docPr id="244" name="文本框 244"/>
                <wp:cNvGraphicFramePr/>
                <a:graphic xmlns:a="http://schemas.openxmlformats.org/drawingml/2006/main">
                  <a:graphicData uri="http://schemas.microsoft.com/office/word/2010/wordprocessingShape">
                    <wps:wsp>
                      <wps:cNvSpPr txBox="1"/>
                      <wps:spPr>
                        <a:xfrm>
                          <a:off x="0" y="0"/>
                          <a:ext cx="3646805" cy="532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市教局对通过高中学校专业测试拟入围但没有相应资质的初中毕业生统一组织专业特长测试子以公示</w:t>
                            </w:r>
                          </w:p>
                        </w:txbxContent>
                      </wps:txbx>
                      <wps:bodyPr upright="1"/>
                    </wps:wsp>
                  </a:graphicData>
                </a:graphic>
              </wp:anchor>
            </w:drawing>
          </mc:Choice>
          <mc:Fallback>
            <w:pict>
              <v:shape id="_x0000_s1026" o:spid="_x0000_s1026" o:spt="202" type="#_x0000_t202" style="position:absolute;left:0pt;margin-left:90.35pt;margin-top:9.3pt;height:41.95pt;width:287.15pt;z-index:251659264;mso-width-relative:page;mso-height-relative:page;" fillcolor="#FFFFFF" filled="t" stroked="t" coordsize="21600,21600" o:gfxdata="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ZXgJHaAAAACwEAAA8AAAAAAAAAAQAg&#10;AAAAIgAAAGRycy9kb3ducmV2LnhtbFBLAQIUABQAAAAIAIdO4kC52ObqDAIAADoEAAAOAAAAAAAA&#10;AAEAIAAAACkBAABkcnMvZTJvRG9jLnhtbFBLBQYAAAAABgAGAFkBAACnBQAAAAA=&#10;">
                <v:fill on="t" focussize="0,0"/>
                <v:stroke color="#000000" joinstyle="miter"/>
                <v:imagedata o:title=""/>
                <o:lock v:ext="edit" aspectratio="f"/>
                <v:textbo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市教局对通过高中学校专业测试拟入围但没有相应资质的初中毕业生统一组织专业特长测试子以公示</w:t>
                      </w:r>
                    </w:p>
                  </w:txbxContent>
                </v:textbox>
              </v:shape>
            </w:pict>
          </mc:Fallback>
        </mc:AlternateContent>
      </w: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p>
    <w:p>
      <w:pPr>
        <w:widowControl w:val="0"/>
        <w:numPr>
          <w:ilvl w:val="0"/>
          <w:numId w:val="0"/>
        </w:numPr>
        <w:jc w:val="left"/>
        <w:rPr>
          <w:rFonts w:hint="eastAsia" w:ascii="黑体" w:hAnsi="黑体" w:eastAsia="宋体" w:cs="宋体"/>
          <w:bCs/>
          <w:sz w:val="24"/>
          <w:szCs w:val="24"/>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1147445</wp:posOffset>
                </wp:positionH>
                <wp:positionV relativeFrom="paragraph">
                  <wp:posOffset>12065</wp:posOffset>
                </wp:positionV>
                <wp:extent cx="3646805" cy="571500"/>
                <wp:effectExtent l="4445" t="4445" r="6350" b="14605"/>
                <wp:wrapNone/>
                <wp:docPr id="1" name="文本框 1"/>
                <wp:cNvGraphicFramePr/>
                <a:graphic xmlns:a="http://schemas.openxmlformats.org/drawingml/2006/main">
                  <a:graphicData uri="http://schemas.microsoft.com/office/word/2010/wordprocessingShape">
                    <wps:wsp>
                      <wps:cNvSpPr txBox="1"/>
                      <wps:spPr>
                        <a:xfrm>
                          <a:off x="0" y="0"/>
                          <a:ext cx="3646805" cy="571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市教育局审批股进行资格审定，经审定无误后在耒阳市党政民户网予以公示</w:t>
                            </w:r>
                          </w:p>
                        </w:txbxContent>
                      </wps:txbx>
                      <wps:bodyPr upright="1"/>
                    </wps:wsp>
                  </a:graphicData>
                </a:graphic>
              </wp:anchor>
            </w:drawing>
          </mc:Choice>
          <mc:Fallback>
            <w:pict>
              <v:shape id="_x0000_s1026" o:spid="_x0000_s1026" o:spt="202" type="#_x0000_t202" style="position:absolute;left:0pt;margin-left:90.35pt;margin-top:0.95pt;height:45pt;width:287.15pt;z-index:251664384;mso-width-relative:page;mso-height-relative:page;" fillcolor="#FFFFFF" filled="t" stroked="t" coordsize="21600,21600" o:gfxdata="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DULuNkAAAAKAQAADwAAAAAAAAABACAA&#10;AAAiAAAAZHJzL2Rvd25yZXYueG1sUEsBAhQAFAAAAAgAh07iQBVvSzUMAgAANgQAAA4AAAAAAAAA&#10;AQAgAAAAKAEAAGRycy9lMm9Eb2MueG1sUEsFBgAAAAAGAAYAWQEAAKYFAAAAAA==&#10;">
                <v:fill on="t" focussize="0,0"/>
                <v:stroke color="#000000" joinstyle="miter"/>
                <v:imagedata o:title=""/>
                <o:lock v:ext="edit" aspectratio="f"/>
                <v:textbox>
                  <w:txbxContent>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市教育局审批股进行资格审定，经审定无误后在耒阳市党政民户网予以公示</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C70C8"/>
    <w:rsid w:val="046125CB"/>
    <w:rsid w:val="09963023"/>
    <w:rsid w:val="09C5251D"/>
    <w:rsid w:val="0CF740F7"/>
    <w:rsid w:val="0CF76A62"/>
    <w:rsid w:val="0DF449E1"/>
    <w:rsid w:val="129242C6"/>
    <w:rsid w:val="23B40D71"/>
    <w:rsid w:val="29426655"/>
    <w:rsid w:val="314B41D9"/>
    <w:rsid w:val="32EC7B5C"/>
    <w:rsid w:val="43F7252C"/>
    <w:rsid w:val="4C6152AC"/>
    <w:rsid w:val="509C70C8"/>
    <w:rsid w:val="6A2D1FDD"/>
    <w:rsid w:val="6CA90BFA"/>
    <w:rsid w:val="72E44311"/>
    <w:rsid w:val="73CD36BD"/>
    <w:rsid w:val="7F28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2021-07-28T01:37:00Z</dcterms:created>
  <dc:creator>Administrator</dc:creator>
  <cp:lastModifiedBy>WPS_1623920526</cp:lastModifiedBy>
  <dcterms:modified xsi:type="dcterms:W3CDTF">2021-09-13T04:11:39Z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EEFA3FD4626945E19C2FFC75299E1F30</vt:lpwstr>
  </property>
</Properties>
</file>