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bCs/>
          <w:kern w:val="2"/>
          <w:sz w:val="44"/>
          <w:szCs w:val="44"/>
          <w:lang w:val="en-US" w:eastAsia="zh-CN" w:bidi="ar-SA"/>
        </w:rPr>
      </w:pPr>
      <w:r>
        <w:rPr>
          <w:rFonts w:hint="eastAsia" w:cs="宋体"/>
          <w:b/>
          <w:bCs/>
          <w:kern w:val="2"/>
          <w:sz w:val="44"/>
          <w:szCs w:val="44"/>
          <w:lang w:val="en-US" w:eastAsia="zh-CN" w:bidi="ar-SA"/>
        </w:rPr>
        <w:t>“</w:t>
      </w:r>
      <w:r>
        <w:rPr>
          <w:rFonts w:hint="eastAsia" w:ascii="宋体" w:hAnsi="宋体" w:eastAsia="宋体" w:cs="宋体"/>
          <w:b/>
          <w:bCs/>
          <w:kern w:val="2"/>
          <w:sz w:val="44"/>
          <w:szCs w:val="44"/>
          <w:lang w:val="en-US" w:eastAsia="zh-CN" w:bidi="ar-SA"/>
        </w:rPr>
        <w:t>民办学校办学水平和教育质量评估的确认</w:t>
      </w:r>
      <w:r>
        <w:rPr>
          <w:rFonts w:hint="eastAsia" w:cs="宋体"/>
          <w:b/>
          <w:bCs/>
          <w:kern w:val="2"/>
          <w:sz w:val="44"/>
          <w:szCs w:val="44"/>
          <w:lang w:val="en-US" w:eastAsia="zh-CN" w:bidi="ar-SA"/>
        </w:rPr>
        <w:t>”</w:t>
      </w:r>
      <w:r>
        <w:rPr>
          <w:rFonts w:hint="eastAsia" w:ascii="宋体" w:hAnsi="宋体" w:eastAsia="宋体" w:cs="宋体"/>
          <w:b/>
          <w:bCs/>
          <w:kern w:val="2"/>
          <w:sz w:val="44"/>
          <w:szCs w:val="44"/>
          <w:lang w:val="en-US" w:eastAsia="zh-CN" w:bidi="ar-SA"/>
        </w:rPr>
        <w:t>办事指南</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outlineLvl w:val="1"/>
        <w:rPr>
          <w:rFonts w:hint="default" w:ascii="仿宋" w:hAnsi="仿宋" w:eastAsia="仿宋" w:cs="仿宋"/>
          <w:b w:val="0"/>
          <w:bCs/>
          <w:i w:val="0"/>
          <w:caps w:val="0"/>
          <w:color w:val="333333"/>
          <w:spacing w:val="0"/>
          <w:sz w:val="28"/>
          <w:szCs w:val="28"/>
          <w:lang w:val="en-US" w:eastAsia="zh-CN"/>
        </w:rPr>
      </w:pPr>
      <w:r>
        <w:rPr>
          <w:rFonts w:hint="eastAsia" w:cs="宋体"/>
          <w:b/>
          <w:bCs/>
          <w:kern w:val="2"/>
          <w:sz w:val="32"/>
          <w:szCs w:val="32"/>
          <w:lang w:val="en-US" w:eastAsia="zh-CN" w:bidi="ar-SA"/>
        </w:rPr>
        <w:t>一、</w:t>
      </w:r>
      <w:r>
        <w:rPr>
          <w:rFonts w:hint="eastAsia" w:ascii="宋体" w:hAnsi="宋体" w:eastAsia="宋体" w:cs="宋体"/>
          <w:b/>
          <w:bCs/>
          <w:kern w:val="2"/>
          <w:sz w:val="32"/>
          <w:szCs w:val="32"/>
          <w:lang w:val="en-US" w:eastAsia="zh-CN" w:bidi="ar-SA"/>
        </w:rPr>
        <w:t>事项名称</w:t>
      </w:r>
      <w:r>
        <w:rPr>
          <w:rFonts w:hint="eastAsia" w:ascii="宋体" w:hAnsi="宋体" w:cs="宋体"/>
          <w:b/>
          <w:bCs/>
          <w:sz w:val="28"/>
          <w:szCs w:val="28"/>
          <w:lang w:val="en-US" w:eastAsia="zh-CN"/>
        </w:rPr>
        <w:t>：</w:t>
      </w:r>
      <w:r>
        <w:rPr>
          <w:rFonts w:hint="eastAsia" w:ascii="仿宋" w:hAnsi="仿宋" w:eastAsia="仿宋" w:cs="仿宋"/>
          <w:b w:val="0"/>
          <w:kern w:val="2"/>
          <w:sz w:val="32"/>
          <w:szCs w:val="32"/>
          <w:lang w:val="en-US" w:eastAsia="zh-CN" w:bidi="ar-SA"/>
        </w:rPr>
        <w:t>民办学校办学水平和教育质量评估的确认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kern w:val="2"/>
          <w:sz w:val="32"/>
          <w:szCs w:val="32"/>
          <w:lang w:val="en-US" w:eastAsia="zh-CN" w:bidi="ar-SA"/>
        </w:rPr>
      </w:pPr>
      <w:r>
        <w:rPr>
          <w:rFonts w:hint="eastAsia" w:ascii="宋体" w:hAnsi="宋体" w:eastAsia="宋体" w:cs="宋体"/>
          <w:b/>
          <w:bCs/>
          <w:sz w:val="32"/>
          <w:szCs w:val="32"/>
          <w:lang w:val="en-US" w:eastAsia="zh-CN"/>
        </w:rPr>
        <w:t>二、设定依据：</w:t>
      </w:r>
      <w:r>
        <w:rPr>
          <w:rFonts w:hint="eastAsia" w:ascii="仿宋" w:hAnsi="仿宋" w:eastAsia="仿宋" w:cs="仿宋"/>
          <w:kern w:val="2"/>
          <w:sz w:val="32"/>
          <w:szCs w:val="32"/>
          <w:lang w:val="en-US" w:eastAsia="zh-CN" w:bidi="ar-SA"/>
        </w:rPr>
        <w:t>1.</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"http://zwfw-new.hunan.gov.cn/hnvirtualhall/zcwj/detail.jsp?xh=A6B2373E1EA4CAE7E053651515AC88DA" \t "http://zwfw-new.hunan.gov.cn/onething/service/_blank"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《中华人民共和国教育法》</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第二十五条 国家实行教育督导制度和学校及其他教育机构教育评估制度。 2.</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"http://zwfw-new.hunan.gov.cn/hnvirtualhall/zcwj/detail.jsp?xh=A6B2373E1EA5CAE7E053651515AC88DA" \t "http://zwfw-new.hunan.gov.cn/onething/service/_blank"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《中华人民共和国义务教育法》</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第八条 人民政府教育督导机构对义务教育工作执行法律法规情况、教育教学质量以及义务教育均衡发展状况等进行督导，督导报告向社会公布。 3.</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"http://zwfw-new.hunan.gov.cn/hnvirtualhall/zcwj/detail.jsp?xh=A6B2373E1EA2CAE7E053651515AC88DA" \t "http://zwfw-new.hunan.gov.cn/onething/service/_blank"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《中华人民共和国高等教育法》</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第四十四条 高等学校应当建立本学校办学水平、教育质量的评价制度，及时公开相关信息，接受社会监督。教育行政部门负责组织专家或者委托第三方专业机构对高等学校的办学水平、效益和教育质量进行评估。评估结果应当向社会公开。 4.</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"http://zwfw-new.hunan.gov.cn/hnvirtualhall/zcwj/detail.jsp?xh=A6B2373E1EA1CAE7E053651515AC88DA" \t "http://zwfw-new.hunan.gov.cn/onething/service/_blank"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《中华人民共和国民办教育促进法》</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第四十一条 教育行政部门及有关部门依法对民办学校实行督导，建立民办学校信息公示和信用档案制度，促进提高办学质量；组织或者委托社会中介组织评估办学水平和教育质量，并将评估结果向社会公布。 5.</w:t>
      </w:r>
      <w:r>
        <w:rPr>
          <w:rFonts w:hint="eastAsia" w:ascii="仿宋" w:hAnsi="仿宋" w:eastAsia="仿宋" w:cs="仿宋"/>
          <w:kern w:val="2"/>
          <w:sz w:val="32"/>
          <w:szCs w:val="32"/>
          <w:lang w:val="en-US" w:eastAsia="zh-CN" w:bidi="ar-SA"/>
        </w:rPr>
        <w:fldChar w:fldCharType="begin"/>
      </w:r>
      <w:r>
        <w:rPr>
          <w:rFonts w:hint="eastAsia" w:ascii="仿宋" w:hAnsi="仿宋" w:eastAsia="仿宋" w:cs="仿宋"/>
          <w:kern w:val="2"/>
          <w:sz w:val="32"/>
          <w:szCs w:val="32"/>
          <w:lang w:val="en-US" w:eastAsia="zh-CN" w:bidi="ar-SA"/>
        </w:rPr>
        <w:instrText xml:space="preserve"> HYPERLINK "http://zwfw-new.hunan.gov.cn/hnvirtualhall/zcwj/detail.jsp?xh=ptLaSL6ETj-uvejVT0034A" \t "http://zwfw-new.hunan.gov.cn/onething/service/_blank" </w:instrText>
      </w:r>
      <w:r>
        <w:rPr>
          <w:rFonts w:hint="eastAsia" w:ascii="仿宋" w:hAnsi="仿宋" w:eastAsia="仿宋" w:cs="仿宋"/>
          <w:kern w:val="2"/>
          <w:sz w:val="32"/>
          <w:szCs w:val="32"/>
          <w:lang w:val="en-US" w:eastAsia="zh-CN" w:bidi="ar-SA"/>
        </w:rPr>
        <w:fldChar w:fldCharType="separate"/>
      </w:r>
      <w:r>
        <w:rPr>
          <w:rFonts w:hint="eastAsia" w:ascii="仿宋" w:hAnsi="仿宋" w:eastAsia="仿宋" w:cs="仿宋"/>
          <w:kern w:val="2"/>
          <w:sz w:val="32"/>
          <w:szCs w:val="32"/>
          <w:lang w:val="en-US" w:eastAsia="zh-CN" w:bidi="ar-SA"/>
        </w:rPr>
        <w:t>《教育督导条例》</w:t>
      </w:r>
      <w:r>
        <w:rPr>
          <w:rFonts w:hint="eastAsia" w:ascii="仿宋" w:hAnsi="仿宋" w:eastAsia="仿宋" w:cs="仿宋"/>
          <w:kern w:val="2"/>
          <w:sz w:val="32"/>
          <w:szCs w:val="32"/>
          <w:lang w:val="en-US" w:eastAsia="zh-CN" w:bidi="ar-SA"/>
        </w:rPr>
        <w:fldChar w:fldCharType="end"/>
      </w:r>
      <w:r>
        <w:rPr>
          <w:rFonts w:hint="eastAsia" w:ascii="仿宋" w:hAnsi="仿宋" w:eastAsia="仿宋" w:cs="仿宋"/>
          <w:kern w:val="2"/>
          <w:sz w:val="32"/>
          <w:szCs w:val="32"/>
          <w:lang w:val="en-US" w:eastAsia="zh-CN" w:bidi="ar-SA"/>
        </w:rPr>
        <w:t>第二条 ……教育督导包括以下内容：……（二）县级以上地方人民政府对本行政区域内的学校和其他教育机构（以下统称学校）教育教学工作的督导。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三、受理对象：</w:t>
      </w:r>
      <w:r>
        <w:rPr>
          <w:rFonts w:hint="eastAsia" w:ascii="仿宋" w:hAnsi="仿宋" w:eastAsia="仿宋" w:cs="仿宋"/>
          <w:sz w:val="32"/>
          <w:szCs w:val="32"/>
          <w:lang w:val="en-US" w:eastAsia="zh-CN"/>
        </w:rPr>
        <w:t>取得办学许可</w:t>
      </w:r>
      <w:bookmarkStart w:id="0" w:name="_GoBack"/>
      <w:bookmarkEnd w:id="0"/>
      <w:r>
        <w:rPr>
          <w:rFonts w:hint="eastAsia" w:ascii="仿宋" w:hAnsi="仿宋" w:eastAsia="仿宋" w:cs="仿宋"/>
          <w:sz w:val="32"/>
          <w:szCs w:val="32"/>
          <w:lang w:val="en-US" w:eastAsia="zh-CN"/>
        </w:rPr>
        <w:t>满一年的民办学校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宋体" w:hAnsi="宋体" w:eastAsia="宋体" w:cs="宋体"/>
          <w:b/>
          <w:bCs/>
          <w:sz w:val="32"/>
          <w:szCs w:val="32"/>
          <w:lang w:val="en-US" w:eastAsia="zh-CN"/>
        </w:rPr>
        <w:t>四、受理条件：</w:t>
      </w:r>
      <w:r>
        <w:rPr>
          <w:rFonts w:hint="eastAsia" w:ascii="仿宋" w:hAnsi="仿宋" w:eastAsia="仿宋" w:cs="仿宋"/>
          <w:sz w:val="32"/>
          <w:szCs w:val="32"/>
          <w:lang w:val="en-US" w:eastAsia="zh-CN"/>
        </w:rPr>
        <w:t>1、取得教育部的办学许可满一年；2、满足教育部门教学备案条件。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28"/>
          <w:szCs w:val="28"/>
          <w:lang w:val="en-US" w:eastAsia="zh-CN"/>
        </w:rPr>
      </w:pPr>
      <w:r>
        <w:rPr>
          <w:rFonts w:hint="eastAsia" w:ascii="宋体" w:hAnsi="宋体" w:eastAsia="宋体" w:cs="宋体"/>
          <w:b/>
          <w:bCs/>
          <w:sz w:val="32"/>
          <w:szCs w:val="32"/>
          <w:lang w:val="en-US" w:eastAsia="zh-CN"/>
        </w:rPr>
        <w:t>五、事项类型：</w:t>
      </w:r>
      <w:r>
        <w:rPr>
          <w:rFonts w:hint="eastAsia" w:ascii="仿宋" w:hAnsi="仿宋" w:eastAsia="仿宋" w:cs="仿宋"/>
          <w:sz w:val="32"/>
          <w:szCs w:val="32"/>
          <w:lang w:val="en-US" w:eastAsia="zh-CN"/>
        </w:rPr>
        <w:t>行政确认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宋体" w:hAnsi="宋体" w:cs="宋体"/>
          <w:b/>
          <w:bCs/>
          <w:sz w:val="28"/>
          <w:szCs w:val="28"/>
          <w:lang w:val="en-US" w:eastAsia="zh-CN"/>
        </w:rPr>
      </w:pPr>
      <w:r>
        <w:rPr>
          <w:rFonts w:hint="eastAsia" w:ascii="宋体" w:hAnsi="宋体" w:eastAsia="宋体" w:cs="宋体"/>
          <w:b/>
          <w:bCs/>
          <w:sz w:val="32"/>
          <w:szCs w:val="32"/>
          <w:lang w:val="en-US" w:eastAsia="zh-CN"/>
        </w:rPr>
        <w:t>六、办理类型：</w:t>
      </w:r>
      <w:r>
        <w:rPr>
          <w:rFonts w:hint="eastAsia" w:ascii="仿宋" w:hAnsi="仿宋" w:eastAsia="仿宋" w:cs="仿宋"/>
          <w:sz w:val="32"/>
          <w:szCs w:val="32"/>
          <w:lang w:val="en-US" w:eastAsia="zh-CN"/>
        </w:rPr>
        <w:t>承诺件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七、办理层级：</w:t>
      </w:r>
      <w:r>
        <w:rPr>
          <w:rFonts w:hint="eastAsia" w:ascii="仿宋" w:hAnsi="仿宋" w:eastAsia="仿宋" w:cs="仿宋"/>
          <w:sz w:val="32"/>
          <w:szCs w:val="32"/>
          <w:lang w:val="en-US" w:eastAsia="zh-CN"/>
        </w:rPr>
        <w:t>县级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宋体" w:hAnsi="宋体" w:cs="宋体"/>
          <w:b/>
          <w:bCs/>
          <w:sz w:val="28"/>
          <w:szCs w:val="28"/>
          <w:lang w:val="en-US" w:eastAsia="zh-CN"/>
        </w:rPr>
      </w:pPr>
      <w:r>
        <w:rPr>
          <w:rFonts w:hint="eastAsia" w:ascii="宋体" w:hAnsi="宋体" w:eastAsia="宋体" w:cs="宋体"/>
          <w:b/>
          <w:bCs/>
          <w:sz w:val="32"/>
          <w:szCs w:val="32"/>
          <w:lang w:val="en-US" w:eastAsia="zh-CN"/>
        </w:rPr>
        <w:t>八、办理时限：</w:t>
      </w:r>
      <w:r>
        <w:rPr>
          <w:rFonts w:hint="eastAsia" w:ascii="仿宋" w:hAnsi="仿宋" w:eastAsia="仿宋" w:cs="仿宋"/>
          <w:sz w:val="32"/>
          <w:szCs w:val="32"/>
        </w:rPr>
        <w:t>法定时间</w:t>
      </w:r>
      <w:r>
        <w:rPr>
          <w:rFonts w:hint="eastAsia" w:ascii="仿宋" w:hAnsi="仿宋" w:eastAsia="仿宋" w:cs="仿宋"/>
          <w:sz w:val="32"/>
          <w:szCs w:val="32"/>
          <w:lang w:val="en-US" w:eastAsia="zh-CN"/>
        </w:rPr>
        <w:t xml:space="preserve"> 45个 </w:t>
      </w:r>
      <w:r>
        <w:rPr>
          <w:rFonts w:hint="eastAsia" w:ascii="仿宋" w:hAnsi="仿宋" w:eastAsia="仿宋" w:cs="仿宋"/>
          <w:sz w:val="32"/>
          <w:szCs w:val="32"/>
        </w:rPr>
        <w:t>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九、办理地点：</w:t>
      </w:r>
      <w:r>
        <w:rPr>
          <w:rFonts w:hint="eastAsia" w:ascii="仿宋" w:hAnsi="仿宋" w:eastAsia="仿宋" w:cs="仿宋"/>
          <w:sz w:val="32"/>
          <w:szCs w:val="32"/>
          <w:lang w:val="en-US" w:eastAsia="zh-CN"/>
        </w:rPr>
        <w:t>耒阳市西湖南路566号市政务服务中心三楼E 区E24—E27窗口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十、办公时间：</w:t>
      </w:r>
      <w:r>
        <w:rPr>
          <w:rFonts w:hint="eastAsia" w:ascii="仿宋" w:hAnsi="仿宋" w:eastAsia="仿宋" w:cs="仿宋"/>
          <w:sz w:val="32"/>
          <w:szCs w:val="32"/>
          <w:lang w:val="en-US" w:eastAsia="zh-CN"/>
        </w:rPr>
        <w:t>上午：9：00-12:00 下午：13：30-17：00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宋体" w:hAnsi="宋体" w:cs="宋体"/>
          <w:b/>
          <w:bCs/>
          <w:sz w:val="28"/>
          <w:szCs w:val="28"/>
          <w:lang w:val="en-US" w:eastAsia="zh-CN"/>
        </w:rPr>
      </w:pPr>
      <w:r>
        <w:rPr>
          <w:rFonts w:hint="eastAsia" w:ascii="宋体" w:hAnsi="宋体" w:eastAsia="宋体" w:cs="宋体"/>
          <w:b/>
          <w:bCs/>
          <w:sz w:val="32"/>
          <w:szCs w:val="32"/>
          <w:lang w:val="en-US" w:eastAsia="zh-CN"/>
        </w:rPr>
        <w:t>十一、咨询电话：</w:t>
      </w:r>
      <w:r>
        <w:rPr>
          <w:rFonts w:hint="eastAsia" w:ascii="仿宋" w:hAnsi="仿宋" w:eastAsia="仿宋" w:cs="仿宋"/>
          <w:sz w:val="32"/>
          <w:szCs w:val="32"/>
          <w:lang w:val="en-US" w:eastAsia="zh-CN"/>
        </w:rPr>
        <w:t>0734-4758185  0734-4758186</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r>
        <w:rPr>
          <w:rFonts w:hint="eastAsia" w:ascii="宋体" w:hAnsi="宋体" w:eastAsia="宋体" w:cs="宋体"/>
          <w:b/>
          <w:bCs/>
          <w:sz w:val="32"/>
          <w:szCs w:val="32"/>
          <w:lang w:val="en-US" w:eastAsia="zh-CN"/>
        </w:rPr>
        <w:t>十二、监督电话：</w:t>
      </w:r>
      <w:r>
        <w:rPr>
          <w:rFonts w:hint="eastAsia" w:ascii="仿宋" w:hAnsi="仿宋" w:eastAsia="仿宋" w:cs="仿宋"/>
          <w:sz w:val="32"/>
          <w:szCs w:val="32"/>
          <w:lang w:val="en-US" w:eastAsia="zh-CN"/>
        </w:rPr>
        <w:t>0734-4758366  12345政府服务热线</w:t>
      </w:r>
    </w:p>
    <w:p>
      <w:pPr>
        <w:numPr>
          <w:ilvl w:val="0"/>
          <w:numId w:val="0"/>
        </w:numPr>
        <w:jc w:val="left"/>
        <w:rPr>
          <w:rFonts w:hint="eastAsia" w:ascii="仿宋" w:hAnsi="仿宋" w:eastAsia="仿宋" w:cs="仿宋"/>
          <w:sz w:val="28"/>
          <w:szCs w:val="28"/>
          <w:lang w:val="en-US" w:eastAsia="zh-CN"/>
        </w:rPr>
      </w:pPr>
      <w:r>
        <w:rPr>
          <w:rFonts w:hint="eastAsia" w:ascii="宋体" w:hAnsi="宋体" w:eastAsia="宋体" w:cs="宋体"/>
          <w:b/>
          <w:bCs/>
          <w:sz w:val="32"/>
          <w:szCs w:val="32"/>
          <w:lang w:val="en-US" w:eastAsia="zh-CN"/>
        </w:rPr>
        <w:t>十三、收费依据及标准：</w:t>
      </w:r>
      <w:r>
        <w:rPr>
          <w:rFonts w:hint="eastAsia" w:ascii="仿宋" w:hAnsi="仿宋" w:eastAsia="仿宋" w:cs="仿宋"/>
          <w:sz w:val="32"/>
          <w:szCs w:val="32"/>
          <w:lang w:val="en-US" w:eastAsia="zh-CN"/>
        </w:rPr>
        <w:t>不收费</w:t>
      </w:r>
    </w:p>
    <w:p>
      <w:pPr>
        <w:numPr>
          <w:ilvl w:val="0"/>
          <w:numId w:val="0"/>
        </w:numPr>
        <w:jc w:val="left"/>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十四、申请材料：</w:t>
      </w:r>
    </w:p>
    <w:tbl>
      <w:tblPr>
        <w:tblStyle w:val="4"/>
        <w:tblW w:w="84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698"/>
        <w:gridCol w:w="1678"/>
        <w:gridCol w:w="1293"/>
        <w:gridCol w:w="835"/>
        <w:gridCol w:w="39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25" w:hRule="atLeast"/>
          <w:tblHeader/>
          <w:jc w:val="center"/>
        </w:trPr>
        <w:tc>
          <w:tcPr>
            <w:tcW w:w="698" w:type="dxa"/>
            <w:tcBorders>
              <w:top w:val="single" w:color="auto" w:sz="12" w:space="0"/>
            </w:tcBorders>
            <w:shd w:val="clear" w:color="auto" w:fill="F1F1F1"/>
            <w:noWrap w:val="0"/>
            <w:vAlign w:val="center"/>
          </w:tcPr>
          <w:p>
            <w:pPr>
              <w:widowControl/>
              <w:spacing w:line="300" w:lineRule="exact"/>
              <w:jc w:val="center"/>
              <w:rPr>
                <w:rFonts w:ascii="仿宋_GB2312" w:hAnsi="宋体" w:eastAsia="仿宋_GB2312"/>
                <w:b/>
                <w:bCs/>
                <w:color w:val="000000"/>
                <w:szCs w:val="21"/>
              </w:rPr>
            </w:pPr>
            <w:r>
              <w:rPr>
                <w:rFonts w:hint="eastAsia" w:ascii="仿宋_GB2312" w:hAnsi="宋体" w:eastAsia="仿宋_GB2312"/>
                <w:b/>
                <w:bCs/>
                <w:color w:val="000000"/>
                <w:kern w:val="0"/>
                <w:szCs w:val="21"/>
              </w:rPr>
              <w:t>序号</w:t>
            </w:r>
          </w:p>
        </w:tc>
        <w:tc>
          <w:tcPr>
            <w:tcW w:w="1678" w:type="dxa"/>
            <w:tcBorders>
              <w:top w:val="single" w:color="auto" w:sz="12" w:space="0"/>
            </w:tcBorders>
            <w:shd w:val="clear" w:color="auto" w:fill="F1F1F1"/>
            <w:noWrap w:val="0"/>
            <w:vAlign w:val="center"/>
          </w:tcPr>
          <w:p>
            <w:pPr>
              <w:widowControl/>
              <w:spacing w:line="300" w:lineRule="exact"/>
              <w:jc w:val="center"/>
              <w:rPr>
                <w:rFonts w:ascii="仿宋_GB2312" w:hAnsi="宋体" w:eastAsia="仿宋_GB2312"/>
                <w:b/>
                <w:bCs/>
                <w:color w:val="000000"/>
                <w:szCs w:val="21"/>
              </w:rPr>
            </w:pPr>
            <w:r>
              <w:rPr>
                <w:rFonts w:hint="eastAsia" w:ascii="仿宋_GB2312" w:hAnsi="宋体" w:eastAsia="仿宋_GB2312"/>
                <w:b/>
                <w:bCs/>
                <w:color w:val="000000"/>
                <w:kern w:val="0"/>
                <w:szCs w:val="21"/>
              </w:rPr>
              <w:t>申请材料</w:t>
            </w:r>
          </w:p>
        </w:tc>
        <w:tc>
          <w:tcPr>
            <w:tcW w:w="1293" w:type="dxa"/>
            <w:tcBorders>
              <w:top w:val="single" w:color="auto" w:sz="12" w:space="0"/>
            </w:tcBorders>
            <w:shd w:val="clear" w:color="auto" w:fill="F1F1F1"/>
            <w:noWrap w:val="0"/>
            <w:vAlign w:val="center"/>
          </w:tcPr>
          <w:p>
            <w:pPr>
              <w:widowControl/>
              <w:spacing w:line="300" w:lineRule="exact"/>
              <w:jc w:val="center"/>
              <w:rPr>
                <w:rFonts w:ascii="仿宋_GB2312" w:hAnsi="宋体" w:eastAsia="仿宋_GB2312"/>
                <w:b/>
                <w:bCs/>
                <w:color w:val="000000"/>
                <w:szCs w:val="21"/>
              </w:rPr>
            </w:pPr>
            <w:r>
              <w:rPr>
                <w:rFonts w:hint="eastAsia" w:ascii="仿宋_GB2312" w:hAnsi="宋体" w:eastAsia="仿宋_GB2312"/>
                <w:b/>
                <w:bCs/>
                <w:color w:val="000000"/>
                <w:kern w:val="0"/>
                <w:szCs w:val="21"/>
              </w:rPr>
              <w:t>材料规格</w:t>
            </w:r>
          </w:p>
        </w:tc>
        <w:tc>
          <w:tcPr>
            <w:tcW w:w="835" w:type="dxa"/>
            <w:tcBorders>
              <w:top w:val="single" w:color="auto" w:sz="12" w:space="0"/>
            </w:tcBorders>
            <w:shd w:val="clear" w:color="auto" w:fill="F1F1F1"/>
            <w:noWrap w:val="0"/>
            <w:vAlign w:val="center"/>
          </w:tcPr>
          <w:p>
            <w:pPr>
              <w:widowControl/>
              <w:spacing w:line="300" w:lineRule="exact"/>
              <w:jc w:val="center"/>
              <w:rPr>
                <w:rFonts w:ascii="仿宋_GB2312" w:hAnsi="宋体" w:eastAsia="仿宋_GB2312"/>
                <w:b/>
                <w:bCs/>
                <w:color w:val="000000"/>
                <w:szCs w:val="21"/>
              </w:rPr>
            </w:pPr>
            <w:r>
              <w:rPr>
                <w:rFonts w:hint="eastAsia" w:ascii="仿宋_GB2312" w:hAnsi="宋体" w:eastAsia="仿宋_GB2312"/>
                <w:b/>
                <w:bCs/>
                <w:color w:val="000000"/>
                <w:kern w:val="0"/>
                <w:szCs w:val="21"/>
              </w:rPr>
              <w:t>份数</w:t>
            </w:r>
          </w:p>
        </w:tc>
        <w:tc>
          <w:tcPr>
            <w:tcW w:w="3960" w:type="dxa"/>
            <w:tcBorders>
              <w:top w:val="single" w:color="auto" w:sz="12" w:space="0"/>
            </w:tcBorders>
            <w:shd w:val="clear" w:color="auto" w:fill="F1F1F1"/>
            <w:noWrap w:val="0"/>
            <w:vAlign w:val="center"/>
          </w:tcPr>
          <w:p>
            <w:pPr>
              <w:widowControl/>
              <w:spacing w:line="300" w:lineRule="exact"/>
              <w:jc w:val="center"/>
              <w:rPr>
                <w:rFonts w:ascii="仿宋_GB2312" w:hAnsi="宋体" w:eastAsia="仿宋_GB2312"/>
                <w:b/>
                <w:bCs/>
                <w:color w:val="000000"/>
                <w:szCs w:val="21"/>
              </w:rPr>
            </w:pPr>
            <w:r>
              <w:rPr>
                <w:rFonts w:hint="eastAsia" w:ascii="仿宋_GB2312" w:hAnsi="宋体" w:eastAsia="仿宋_GB2312"/>
                <w:b/>
                <w:bCs/>
                <w:color w:val="000000"/>
                <w:kern w:val="0"/>
                <w:szCs w:val="21"/>
              </w:rPr>
              <w:t>材料要求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spacing w:line="300" w:lineRule="exact"/>
              <w:jc w:val="center"/>
              <w:rPr>
                <w:rFonts w:ascii="仿宋_GB2312" w:hAnsi="宋体" w:eastAsia="仿宋_GB2312"/>
                <w:bCs/>
                <w:szCs w:val="21"/>
              </w:rPr>
            </w:pPr>
            <w:r>
              <w:rPr>
                <w:rFonts w:ascii="仿宋_GB2312" w:hAnsi="宋体" w:eastAsia="仿宋_GB2312"/>
                <w:bCs/>
                <w:color w:val="000000"/>
                <w:kern w:val="0"/>
                <w:szCs w:val="21"/>
              </w:rPr>
              <w:t>1</w:t>
            </w:r>
          </w:p>
        </w:tc>
        <w:tc>
          <w:tcPr>
            <w:tcW w:w="1678" w:type="dxa"/>
            <w:noWrap w:val="0"/>
            <w:vAlign w:val="center"/>
          </w:tcPr>
          <w:p>
            <w:pPr>
              <w:widowControl/>
              <w:spacing w:line="300" w:lineRule="exact"/>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申请表</w:t>
            </w:r>
          </w:p>
        </w:tc>
        <w:tc>
          <w:tcPr>
            <w:tcW w:w="1293" w:type="dxa"/>
            <w:noWrap w:val="0"/>
            <w:vAlign w:val="center"/>
          </w:tcPr>
          <w:p>
            <w:pPr>
              <w:widowControl/>
              <w:spacing w:line="300" w:lineRule="exact"/>
              <w:jc w:val="center"/>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A4纸打印</w:t>
            </w:r>
          </w:p>
        </w:tc>
        <w:tc>
          <w:tcPr>
            <w:tcW w:w="835" w:type="dxa"/>
            <w:noWrap w:val="0"/>
            <w:vAlign w:val="center"/>
          </w:tcPr>
          <w:p>
            <w:pPr>
              <w:widowControl/>
              <w:spacing w:line="300" w:lineRule="exact"/>
              <w:jc w:val="center"/>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1</w:t>
            </w:r>
          </w:p>
        </w:tc>
        <w:tc>
          <w:tcPr>
            <w:tcW w:w="3960" w:type="dxa"/>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宋体" w:eastAsia="仿宋_GB2312"/>
                <w:bCs/>
                <w:kern w:val="2"/>
                <w:sz w:val="21"/>
                <w:szCs w:val="21"/>
                <w:lang w:val="en-US" w:eastAsia="zh-CN" w:bidi="ar-SA"/>
              </w:rPr>
            </w:pPr>
            <w:r>
              <w:rPr>
                <w:rFonts w:hint="eastAsia" w:ascii="仿宋_GB2312" w:hAnsi="宋体" w:eastAsia="仿宋_GB2312"/>
                <w:bCs/>
                <w:kern w:val="2"/>
                <w:sz w:val="21"/>
                <w:szCs w:val="21"/>
                <w:lang w:val="en-US" w:eastAsia="zh-CN" w:bidi="ar-SA"/>
              </w:rPr>
              <w:t>原件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67" w:hRule="atLeast"/>
          <w:jc w:val="center"/>
        </w:trPr>
        <w:tc>
          <w:tcPr>
            <w:tcW w:w="698" w:type="dxa"/>
            <w:noWrap w:val="0"/>
            <w:vAlign w:val="center"/>
          </w:tcPr>
          <w:p>
            <w:pPr>
              <w:widowControl/>
              <w:spacing w:line="300" w:lineRule="exact"/>
              <w:jc w:val="center"/>
              <w:rPr>
                <w:rFonts w:hint="eastAsia" w:ascii="仿宋_GB2312" w:hAnsi="宋体" w:eastAsia="仿宋_GB2312"/>
                <w:bCs/>
                <w:color w:val="000000"/>
                <w:kern w:val="0"/>
                <w:szCs w:val="21"/>
                <w:lang w:val="en-US" w:eastAsia="zh-CN"/>
              </w:rPr>
            </w:pPr>
            <w:r>
              <w:rPr>
                <w:rFonts w:hint="eastAsia" w:ascii="仿宋_GB2312" w:hAnsi="宋体" w:eastAsia="仿宋_GB2312"/>
                <w:bCs/>
                <w:color w:val="000000"/>
                <w:kern w:val="0"/>
                <w:szCs w:val="21"/>
                <w:lang w:val="en-US" w:eastAsia="zh-CN"/>
              </w:rPr>
              <w:t>2</w:t>
            </w:r>
          </w:p>
        </w:tc>
        <w:tc>
          <w:tcPr>
            <w:tcW w:w="1678" w:type="dxa"/>
            <w:noWrap w:val="0"/>
            <w:vAlign w:val="center"/>
          </w:tcPr>
          <w:p>
            <w:pPr>
              <w:widowControl/>
              <w:spacing w:line="300" w:lineRule="exact"/>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自评表</w:t>
            </w:r>
          </w:p>
        </w:tc>
        <w:tc>
          <w:tcPr>
            <w:tcW w:w="1293" w:type="dxa"/>
            <w:noWrap w:val="0"/>
            <w:vAlign w:val="center"/>
          </w:tcPr>
          <w:p>
            <w:pPr>
              <w:widowControl/>
              <w:spacing w:line="30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A4纸打印</w:t>
            </w:r>
          </w:p>
        </w:tc>
        <w:tc>
          <w:tcPr>
            <w:tcW w:w="835" w:type="dxa"/>
            <w:noWrap w:val="0"/>
            <w:vAlign w:val="center"/>
          </w:tcPr>
          <w:p>
            <w:pPr>
              <w:widowControl/>
              <w:spacing w:line="300" w:lineRule="exact"/>
              <w:jc w:val="center"/>
              <w:rPr>
                <w:rFonts w:hint="default" w:ascii="仿宋_GB2312" w:hAnsi="宋体" w:eastAsia="仿宋_GB2312"/>
                <w:bCs/>
                <w:szCs w:val="21"/>
                <w:lang w:val="en-US" w:eastAsia="zh-CN"/>
              </w:rPr>
            </w:pPr>
            <w:r>
              <w:rPr>
                <w:rFonts w:hint="eastAsia" w:ascii="仿宋_GB2312" w:hAnsi="宋体" w:eastAsia="仿宋_GB2312"/>
                <w:bCs/>
                <w:szCs w:val="21"/>
                <w:lang w:val="en-US" w:eastAsia="zh-CN"/>
              </w:rPr>
              <w:t>1</w:t>
            </w:r>
          </w:p>
        </w:tc>
        <w:tc>
          <w:tcPr>
            <w:tcW w:w="3960" w:type="dxa"/>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仿宋_GB2312" w:hAnsi="宋体" w:eastAsia="仿宋_GB2312"/>
                <w:bCs/>
                <w:kern w:val="2"/>
                <w:sz w:val="21"/>
                <w:szCs w:val="21"/>
                <w:lang w:val="en-US" w:eastAsia="zh-CN" w:bidi="ar-SA"/>
              </w:rPr>
            </w:pPr>
            <w:r>
              <w:rPr>
                <w:rFonts w:hint="eastAsia" w:ascii="仿宋_GB2312" w:hAnsi="宋体" w:eastAsia="仿宋_GB2312"/>
                <w:bCs/>
                <w:kern w:val="2"/>
                <w:sz w:val="21"/>
                <w:szCs w:val="21"/>
                <w:lang w:val="en-US" w:eastAsia="zh-CN" w:bidi="ar-SA"/>
              </w:rPr>
              <w:t>原件</w:t>
            </w:r>
          </w:p>
        </w:tc>
      </w:tr>
    </w:tbl>
    <w:p>
      <w:pPr>
        <w:numPr>
          <w:ilvl w:val="0"/>
          <w:numId w:val="0"/>
        </w:numPr>
        <w:jc w:val="left"/>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十五、</w:t>
      </w:r>
      <w:r>
        <w:rPr>
          <w:rFonts w:hint="eastAsia" w:ascii="宋体" w:hAnsi="宋体" w:cs="宋体"/>
          <w:b/>
          <w:bCs/>
          <w:sz w:val="32"/>
          <w:szCs w:val="32"/>
          <w:lang w:val="en-US" w:eastAsia="zh-CN"/>
        </w:rPr>
        <w:t>办理</w:t>
      </w:r>
      <w:r>
        <w:rPr>
          <w:rFonts w:hint="eastAsia" w:ascii="宋体" w:hAnsi="宋体" w:eastAsia="宋体" w:cs="宋体"/>
          <w:b/>
          <w:bCs/>
          <w:sz w:val="32"/>
          <w:szCs w:val="32"/>
          <w:lang w:val="en-US" w:eastAsia="zh-CN"/>
        </w:rPr>
        <w:t>流程：</w:t>
      </w:r>
    </w:p>
    <w:p>
      <w:pPr>
        <w:widowControl w:val="0"/>
        <w:numPr>
          <w:ilvl w:val="0"/>
          <w:numId w:val="0"/>
        </w:numPr>
        <w:jc w:val="both"/>
        <w:rPr>
          <w:rFonts w:hint="default" w:ascii="宋体" w:hAnsi="宋体" w:cs="宋体"/>
          <w:b/>
          <w:bCs/>
          <w:sz w:val="28"/>
          <w:szCs w:val="28"/>
          <w:u w:val="none"/>
          <w:lang w:val="en-US" w:eastAsia="zh-CN"/>
        </w:rPr>
      </w:pPr>
    </w:p>
    <w:p>
      <w:pPr>
        <w:widowControl w:val="0"/>
        <w:numPr>
          <w:ilvl w:val="0"/>
          <w:numId w:val="0"/>
        </w:numPr>
        <w:jc w:val="both"/>
        <w:rPr>
          <w:rFonts w:hint="eastAsia" w:ascii="宋体" w:hAnsi="宋体" w:cs="宋体"/>
          <w:b/>
          <w:bCs/>
          <w:sz w:val="28"/>
          <w:szCs w:val="28"/>
          <w:u w:val="none"/>
          <w:lang w:val="en-US" w:eastAsia="zh-CN"/>
        </w:rPr>
      </w:pPr>
      <w:r>
        <w:rPr>
          <w:sz w:val="28"/>
        </w:rPr>
        <mc:AlternateContent>
          <mc:Choice Requires="wps">
            <w:drawing>
              <wp:anchor distT="0" distB="0" distL="114300" distR="114300" simplePos="0" relativeHeight="251665408" behindDoc="0" locked="0" layoutInCell="1" allowOverlap="1">
                <wp:simplePos x="0" y="0"/>
                <wp:positionH relativeFrom="column">
                  <wp:posOffset>1195070</wp:posOffset>
                </wp:positionH>
                <wp:positionV relativeFrom="paragraph">
                  <wp:posOffset>73660</wp:posOffset>
                </wp:positionV>
                <wp:extent cx="635" cy="2952750"/>
                <wp:effectExtent l="48260" t="0" r="65405" b="0"/>
                <wp:wrapNone/>
                <wp:docPr id="222" name="直接连接符 222"/>
                <wp:cNvGraphicFramePr/>
                <a:graphic xmlns:a="http://schemas.openxmlformats.org/drawingml/2006/main">
                  <a:graphicData uri="http://schemas.microsoft.com/office/word/2010/wordprocessingShape">
                    <wps:wsp>
                      <wps:cNvCnPr/>
                      <wps:spPr>
                        <a:xfrm>
                          <a:off x="0" y="0"/>
                          <a:ext cx="635" cy="29527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4.1pt;margin-top:5.8pt;height:232.5pt;width:0.05pt;z-index:251665408;mso-width-relative:page;mso-height-relative:page;" filled="f" stroked="t" coordsize="21600,21600" o:gfxdata="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ka0UfZAAAACgEAAA8AAAAAAAAAAQAgAAAAIgAAAGRycy9kb3du&#10;cmV2LnhtbFBLAQIUABQAAAAIAIdO4kBkmGiW/gEAAOsDAAAOAAAAAAAAAAEAIAAAACgBAABkcnMv&#10;ZTJvRG9jLnhtbFBLBQYAAAAABgAGAFkBAACYBQAAAAA=&#10;">
                <v:fill on="f" focussize="0,0"/>
                <v:stroke color="#000000" joinstyle="round" endarrow="open"/>
                <v:imagedata o:title=""/>
                <o:lock v:ext="edit" aspectratio="f"/>
              </v:lin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1746885</wp:posOffset>
                </wp:positionH>
                <wp:positionV relativeFrom="paragraph">
                  <wp:posOffset>2814320</wp:posOffset>
                </wp:positionV>
                <wp:extent cx="1238250" cy="314325"/>
                <wp:effectExtent l="4445" t="4445" r="14605" b="5080"/>
                <wp:wrapNone/>
                <wp:docPr id="225" name="文本框 225"/>
                <wp:cNvGraphicFramePr/>
                <a:graphic xmlns:a="http://schemas.openxmlformats.org/drawingml/2006/main">
                  <a:graphicData uri="http://schemas.microsoft.com/office/word/2010/wordprocessingShape">
                    <wps:wsp>
                      <wps:cNvSpPr txBox="1"/>
                      <wps:spPr>
                        <a:xfrm>
                          <a:off x="0" y="0"/>
                          <a:ext cx="123825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公示结果</w:t>
                            </w:r>
                          </w:p>
                        </w:txbxContent>
                      </wps:txbx>
                      <wps:bodyPr upright="1"/>
                    </wps:wsp>
                  </a:graphicData>
                </a:graphic>
              </wp:anchor>
            </w:drawing>
          </mc:Choice>
          <mc:Fallback>
            <w:pict>
              <v:shape id="_x0000_s1026" o:spid="_x0000_s1026" o:spt="202" type="#_x0000_t202" style="position:absolute;left:0pt;margin-left:137.55pt;margin-top:221.6pt;height:24.75pt;width:97.5pt;z-index:251664384;mso-width-relative:page;mso-height-relative:page;" fillcolor="#FFFFFF" filled="t" stroked="t" coordsize="21600,21600" o:gfxdata="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pcIU9oAAAALAQAADwAAAAAAAAABACAA&#10;AAAiAAAAZHJzL2Rvd25yZXYueG1sUEsBAhQAFAAAAAgAh07iQIcSNAsLAgAAOgQAAA4AAAAAAAAA&#10;AQAgAAAAKQEAAGRycy9lMm9Eb2MueG1sUEsFBgAAAAAGAAYAWQEAAKYFAAAAAA==&#10;">
                <v:fill on="t" focussize="0,0"/>
                <v:stroke color="#000000" joinstyle="miter"/>
                <v:imagedata o:title=""/>
                <o:lock v:ext="edit" aspectratio="f"/>
                <v:textbox>
                  <w:txbxContent>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公示结果</w:t>
                      </w:r>
                    </w:p>
                  </w:txbxContent>
                </v:textbox>
              </v:shap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column">
                  <wp:posOffset>1746885</wp:posOffset>
                </wp:positionH>
                <wp:positionV relativeFrom="paragraph">
                  <wp:posOffset>2080895</wp:posOffset>
                </wp:positionV>
                <wp:extent cx="1238250" cy="542925"/>
                <wp:effectExtent l="4445" t="4445" r="14605" b="5080"/>
                <wp:wrapNone/>
                <wp:docPr id="223" name="文本框 223"/>
                <wp:cNvGraphicFramePr/>
                <a:graphic xmlns:a="http://schemas.openxmlformats.org/drawingml/2006/main">
                  <a:graphicData uri="http://schemas.microsoft.com/office/word/2010/wordprocessingShape">
                    <wps:wsp>
                      <wps:cNvSpPr txBox="1"/>
                      <wps:spPr>
                        <a:xfrm>
                          <a:off x="0" y="0"/>
                          <a:ext cx="1238250" cy="542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行政审批股确认结果</w:t>
                            </w:r>
                          </w:p>
                        </w:txbxContent>
                      </wps:txbx>
                      <wps:bodyPr upright="1"/>
                    </wps:wsp>
                  </a:graphicData>
                </a:graphic>
              </wp:anchor>
            </w:drawing>
          </mc:Choice>
          <mc:Fallback>
            <w:pict>
              <v:shape id="_x0000_s1026" o:spid="_x0000_s1026" o:spt="202" type="#_x0000_t202" style="position:absolute;left:0pt;margin-left:137.55pt;margin-top:163.85pt;height:42.75pt;width:97.5pt;z-index:251663360;mso-width-relative:page;mso-height-relative:page;" fillcolor="#FFFFFF" filled="t" stroked="t" coordsize="21600,21600" o:gfxdata="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9Yfh7aAAAACwEAAA8AAAAAAAAAAQAg&#10;AAAAIgAAAGRycy9kb3ducmV2LnhtbFBLAQIUABQAAAAIAIdO4kAFRnwSDAIAADoEAAAOAAAAAAAA&#10;AAEAIAAAACkBAABkcnMvZTJvRG9jLnhtbFBLBQYAAAAABgAGAFkBAACnBQAAAAA=&#10;">
                <v:fill on="t" focussize="0,0"/>
                <v:stroke color="#000000" joinstyle="miter"/>
                <v:imagedata o:title=""/>
                <o:lock v:ext="edit" aspectratio="f"/>
                <v:textbox>
                  <w:txbxContent>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行政审批股确认结果</w:t>
                      </w:r>
                    </w:p>
                  </w:txbxContent>
                </v:textbox>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column">
                  <wp:posOffset>1756410</wp:posOffset>
                </wp:positionH>
                <wp:positionV relativeFrom="paragraph">
                  <wp:posOffset>937895</wp:posOffset>
                </wp:positionV>
                <wp:extent cx="1307465" cy="904875"/>
                <wp:effectExtent l="4445" t="4445" r="21590" b="5080"/>
                <wp:wrapNone/>
                <wp:docPr id="226" name="文本框 226"/>
                <wp:cNvGraphicFramePr/>
                <a:graphic xmlns:a="http://schemas.openxmlformats.org/drawingml/2006/main">
                  <a:graphicData uri="http://schemas.microsoft.com/office/word/2010/wordprocessingShape">
                    <wps:wsp>
                      <wps:cNvSpPr txBox="1"/>
                      <wps:spPr>
                        <a:xfrm>
                          <a:off x="0" y="0"/>
                          <a:ext cx="1307465" cy="904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民管股组织行政审批股等相关股室人员到现场检查、评审</w:t>
                            </w:r>
                          </w:p>
                        </w:txbxContent>
                      </wps:txbx>
                      <wps:bodyPr upright="1"/>
                    </wps:wsp>
                  </a:graphicData>
                </a:graphic>
              </wp:anchor>
            </w:drawing>
          </mc:Choice>
          <mc:Fallback>
            <w:pict>
              <v:shape id="_x0000_s1026" o:spid="_x0000_s1026" o:spt="202" type="#_x0000_t202" style="position:absolute;left:0pt;margin-left:138.3pt;margin-top:73.85pt;height:71.25pt;width:102.95pt;z-index:251662336;mso-width-relative:page;mso-height-relative:page;" fillcolor="#FFFFFF" filled="t" stroked="t" coordsize="21600,21600" o:gfxdata="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XNhTdkAAAALAQAADwAAAAAAAAABACAA&#10;AAAiAAAAZHJzL2Rvd25yZXYueG1sUEsBAhQAFAAAAAgAh07iQLnlaPIMAgAAOgQAAA4AAAAAAAAA&#10;AQAgAAAAKAEAAGRycy9lMm9Eb2MueG1sUEsFBgAAAAAGAAYAWQEAAKYFAAAAAA==&#10;">
                <v:fill on="t" focussize="0,0"/>
                <v:stroke color="#000000" joinstyle="miter"/>
                <v:imagedata o:title=""/>
                <o:lock v:ext="edit" aspectratio="f"/>
                <v:textbox>
                  <w:txbxContent>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民管股组织行政审批股等相关股室人员到现场检查、评审</w:t>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1737360</wp:posOffset>
                </wp:positionH>
                <wp:positionV relativeFrom="paragraph">
                  <wp:posOffset>480695</wp:posOffset>
                </wp:positionV>
                <wp:extent cx="1315720" cy="314325"/>
                <wp:effectExtent l="4445" t="4445" r="13335" b="5080"/>
                <wp:wrapNone/>
                <wp:docPr id="224" name="文本框 224"/>
                <wp:cNvGraphicFramePr/>
                <a:graphic xmlns:a="http://schemas.openxmlformats.org/drawingml/2006/main">
                  <a:graphicData uri="http://schemas.microsoft.com/office/word/2010/wordprocessingShape">
                    <wps:wsp>
                      <wps:cNvSpPr txBox="1"/>
                      <wps:spPr>
                        <a:xfrm>
                          <a:off x="0" y="0"/>
                          <a:ext cx="131572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教育局窗口受理</w:t>
                            </w:r>
                          </w:p>
                        </w:txbxContent>
                      </wps:txbx>
                      <wps:bodyPr upright="1"/>
                    </wps:wsp>
                  </a:graphicData>
                </a:graphic>
              </wp:anchor>
            </w:drawing>
          </mc:Choice>
          <mc:Fallback>
            <w:pict>
              <v:shape id="_x0000_s1026" o:spid="_x0000_s1026" o:spt="202" type="#_x0000_t202" style="position:absolute;left:0pt;margin-left:136.8pt;margin-top:37.85pt;height:24.75pt;width:103.6pt;z-index:251661312;mso-width-relative:page;mso-height-relative:page;" fillcolor="#FFFFFF" filled="t" stroked="t" coordsize="21600,21600" o:gfxdata="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DP09NkAAAAKAQAADwAAAAAAAAABACAA&#10;AAAiAAAAZHJzL2Rvd25yZXYueG1sUEsBAhQAFAAAAAgAh07iQGjz/yIMAgAAOgQAAA4AAAAAAAAA&#10;AQAgAAAAKAEAAGRycy9lMm9Eb2MueG1sUEsFBgAAAAAGAAYAWQEAAKYFAAAAAA==&#10;">
                <v:fill on="t" focussize="0,0"/>
                <v:stroke color="#000000" joinstyle="miter"/>
                <v:imagedata o:title=""/>
                <o:lock v:ext="edit" aspectratio="f"/>
                <v:textbox>
                  <w:txbxContent>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教育局窗口受理</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1737360</wp:posOffset>
                </wp:positionH>
                <wp:positionV relativeFrom="paragraph">
                  <wp:posOffset>23495</wp:posOffset>
                </wp:positionV>
                <wp:extent cx="1298575" cy="314325"/>
                <wp:effectExtent l="4445" t="4445" r="11430" b="5080"/>
                <wp:wrapNone/>
                <wp:docPr id="227" name="文本框 227"/>
                <wp:cNvGraphicFramePr/>
                <a:graphic xmlns:a="http://schemas.openxmlformats.org/drawingml/2006/main">
                  <a:graphicData uri="http://schemas.microsoft.com/office/word/2010/wordprocessingShape">
                    <wps:wsp>
                      <wps:cNvSpPr txBox="1"/>
                      <wps:spPr>
                        <a:xfrm>
                          <a:off x="0" y="0"/>
                          <a:ext cx="1298575"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举办者提出申请</w:t>
                            </w:r>
                          </w:p>
                        </w:txbxContent>
                      </wps:txbx>
                      <wps:bodyPr upright="1"/>
                    </wps:wsp>
                  </a:graphicData>
                </a:graphic>
              </wp:anchor>
            </w:drawing>
          </mc:Choice>
          <mc:Fallback>
            <w:pict>
              <v:shape id="_x0000_s1026" o:spid="_x0000_s1026" o:spt="202" type="#_x0000_t202" style="position:absolute;left:0pt;margin-left:136.8pt;margin-top:1.85pt;height:24.75pt;width:102.25pt;z-index:251660288;mso-width-relative:page;mso-height-relative:page;" fillcolor="#FFFFFF" filled="t" stroked="t" coordsize="21600,21600" o:gfxdata="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i2/QNgAAAAIAQAADwAAAAAAAAABACAA&#10;AAAiAAAAZHJzL2Rvd25yZXYueG1sUEsBAhQAFAAAAAgAh07iQKd6E+UNAgAAOgQAAA4AAAAAAAAA&#10;AQAgAAAAJwEAAGRycy9lMm9Eb2MueG1sUEsFBgAAAAAGAAYAWQEAAKYFAAAAAA==&#10;">
                <v:fill on="t" focussize="0,0"/>
                <v:stroke color="#000000" joinstyle="miter"/>
                <v:imagedata o:title=""/>
                <o:lock v:ext="edit" aspectratio="f"/>
                <v:textbox>
                  <w:txbxContent>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举办者提出申请</w:t>
                      </w:r>
                    </w:p>
                  </w:txbxContent>
                </v:textbox>
              </v:shape>
            </w:pict>
          </mc:Fallback>
        </mc:AlternateContent>
      </w:r>
      <w:r>
        <w:rPr>
          <w:rFonts w:hint="eastAsia" w:ascii="宋体" w:hAnsi="宋体" w:cs="宋体"/>
          <w:b/>
          <w:bCs/>
          <w:sz w:val="28"/>
          <w:szCs w:val="28"/>
          <w:u w:val="none"/>
          <w:lang w:val="en-US" w:eastAsia="zh-CN"/>
        </w:rPr>
        <w:t xml:space="preserve">                                                   </w:t>
      </w:r>
    </w:p>
    <w:p>
      <w:pPr>
        <w:widowControl w:val="0"/>
        <w:numPr>
          <w:ilvl w:val="0"/>
          <w:numId w:val="0"/>
        </w:numPr>
        <w:jc w:val="both"/>
        <w:rPr>
          <w:rFonts w:hint="eastAsia" w:ascii="宋体" w:hAnsi="宋体" w:cs="宋体"/>
          <w:b/>
          <w:bCs/>
          <w:sz w:val="28"/>
          <w:szCs w:val="28"/>
          <w:u w:val="none"/>
          <w:lang w:val="en-US" w:eastAsia="zh-CN"/>
        </w:rPr>
      </w:pPr>
    </w:p>
    <w:p>
      <w:pPr>
        <w:widowControl w:val="0"/>
        <w:numPr>
          <w:ilvl w:val="0"/>
          <w:numId w:val="0"/>
        </w:numPr>
        <w:jc w:val="both"/>
        <w:rPr>
          <w:rFonts w:hint="eastAsia" w:ascii="宋体" w:hAnsi="宋体" w:cs="宋体"/>
          <w:b/>
          <w:bCs/>
          <w:sz w:val="28"/>
          <w:szCs w:val="28"/>
          <w:u w:val="none"/>
          <w:lang w:val="en-US" w:eastAsia="zh-CN"/>
        </w:rPr>
      </w:pPr>
    </w:p>
    <w:p>
      <w:pPr>
        <w:widowControl w:val="0"/>
        <w:numPr>
          <w:ilvl w:val="0"/>
          <w:numId w:val="0"/>
        </w:numPr>
        <w:jc w:val="both"/>
        <w:rPr>
          <w:rFonts w:hint="eastAsia" w:ascii="宋体" w:hAnsi="宋体" w:cs="宋体"/>
          <w:b/>
          <w:bCs/>
          <w:sz w:val="28"/>
          <w:szCs w:val="28"/>
          <w:u w:val="none"/>
          <w:lang w:val="en-US" w:eastAsia="zh-CN"/>
        </w:rPr>
      </w:pPr>
    </w:p>
    <w:p>
      <w:pPr>
        <w:widowControl w:val="0"/>
        <w:numPr>
          <w:ilvl w:val="0"/>
          <w:numId w:val="0"/>
        </w:numPr>
        <w:jc w:val="both"/>
        <w:rPr>
          <w:rFonts w:hint="eastAsia" w:ascii="宋体" w:hAnsi="宋体" w:cs="宋体"/>
          <w:b/>
          <w:bCs/>
          <w:sz w:val="28"/>
          <w:szCs w:val="28"/>
          <w:u w:val="none"/>
          <w:lang w:val="en-US" w:eastAsia="zh-CN"/>
        </w:rPr>
      </w:pPr>
    </w:p>
    <w:p>
      <w:pPr>
        <w:widowControl w:val="0"/>
        <w:numPr>
          <w:ilvl w:val="0"/>
          <w:numId w:val="0"/>
        </w:numPr>
        <w:jc w:val="both"/>
        <w:rPr>
          <w:rFonts w:hint="eastAsia" w:ascii="宋体" w:hAnsi="宋体" w:cs="宋体"/>
          <w:b/>
          <w:bCs/>
          <w:sz w:val="28"/>
          <w:szCs w:val="28"/>
          <w:u w:val="none"/>
          <w:lang w:val="en-US" w:eastAsia="zh-CN"/>
        </w:rPr>
      </w:pPr>
    </w:p>
    <w:p>
      <w:pPr>
        <w:widowControl w:val="0"/>
        <w:numPr>
          <w:ilvl w:val="0"/>
          <w:numId w:val="0"/>
        </w:numPr>
        <w:jc w:val="both"/>
        <w:rPr>
          <w:rFonts w:hint="eastAsia" w:ascii="宋体" w:hAnsi="宋体" w:cs="宋体"/>
          <w:b/>
          <w:bCs/>
          <w:sz w:val="28"/>
          <w:szCs w:val="28"/>
          <w:u w:val="none"/>
          <w:lang w:val="en-US" w:eastAsia="zh-CN"/>
        </w:rPr>
      </w:pPr>
    </w:p>
    <w:p>
      <w:pPr>
        <w:widowControl w:val="0"/>
        <w:numPr>
          <w:ilvl w:val="0"/>
          <w:numId w:val="0"/>
        </w:numPr>
        <w:jc w:val="both"/>
      </w:pPr>
      <w:r>
        <w:rPr>
          <w:rFonts w:ascii="黑体" w:hAnsi="黑体" w:eastAsia="黑体" w:cs="宋体"/>
          <w:bCs/>
          <w:sz w:val="24"/>
          <w:szCs w:val="24"/>
        </w:rPr>
        <mc:AlternateContent>
          <mc:Choice Requires="wps">
            <w:drawing>
              <wp:anchor distT="0" distB="0" distL="114300" distR="114300" simplePos="0" relativeHeight="251659264" behindDoc="0" locked="0" layoutInCell="1" allowOverlap="1">
                <wp:simplePos x="0" y="0"/>
                <wp:positionH relativeFrom="column">
                  <wp:posOffset>3342005</wp:posOffset>
                </wp:positionH>
                <wp:positionV relativeFrom="paragraph">
                  <wp:posOffset>57785</wp:posOffset>
                </wp:positionV>
                <wp:extent cx="1790700" cy="290830"/>
                <wp:effectExtent l="4445" t="5080" r="14605" b="8890"/>
                <wp:wrapNone/>
                <wp:docPr id="175" name="文本框 175"/>
                <wp:cNvGraphicFramePr/>
                <a:graphic xmlns:a="http://schemas.openxmlformats.org/drawingml/2006/main">
                  <a:graphicData uri="http://schemas.microsoft.com/office/word/2010/wordprocessingShape">
                    <wps:wsp>
                      <wps:cNvSpPr txBox="1"/>
                      <wps:spPr>
                        <a:xfrm>
                          <a:off x="0" y="0"/>
                          <a:ext cx="1790700" cy="290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hanging="240" w:hangingChars="1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不予认证说明理由</w:t>
                            </w:r>
                          </w:p>
                        </w:txbxContent>
                      </wps:txbx>
                      <wps:bodyPr upright="1"/>
                    </wps:wsp>
                  </a:graphicData>
                </a:graphic>
              </wp:anchor>
            </w:drawing>
          </mc:Choice>
          <mc:Fallback>
            <w:pict>
              <v:shape id="_x0000_s1026" o:spid="_x0000_s1026" o:spt="202" type="#_x0000_t202" style="position:absolute;left:0pt;margin-left:263.15pt;margin-top:4.55pt;height:22.9pt;width:141pt;z-index:251659264;mso-width-relative:page;mso-height-relative:page;" fillcolor="#FFFFFF" filled="t" stroked="t" coordsize="21600,21600" o:gfxdata="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XqFxNcAAAAIAQAADwAAAAAAAAABACAA&#10;AAAiAAAAZHJzL2Rvd25yZXYueG1sUEsBAhQAFAAAAAgAh07iQBjQ78MOAgAAOgQAAA4AAAAAAAAA&#10;AQAgAAAAJgEAAGRycy9lMm9Eb2MueG1sUEsFBgAAAAAGAAYAWQEAAKY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hanging="240" w:hangingChars="1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不予认证说明理由</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9C70C8"/>
    <w:rsid w:val="046125CB"/>
    <w:rsid w:val="09963023"/>
    <w:rsid w:val="0CF76A62"/>
    <w:rsid w:val="0DF449E1"/>
    <w:rsid w:val="0EC63D49"/>
    <w:rsid w:val="129242C6"/>
    <w:rsid w:val="23B40D71"/>
    <w:rsid w:val="29426655"/>
    <w:rsid w:val="2E1C600F"/>
    <w:rsid w:val="314B41D9"/>
    <w:rsid w:val="32EC7B5C"/>
    <w:rsid w:val="4C6152AC"/>
    <w:rsid w:val="509C70C8"/>
    <w:rsid w:val="52CA191B"/>
    <w:rsid w:val="6CA90BFA"/>
    <w:rsid w:val="718166C0"/>
    <w:rsid w:val="73CD36BD"/>
    <w:rsid w:val="7F281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2021-07-28T01:37:00Z</dcterms:created>
  <dc:creator>Administrator</dc:creator>
  <cp:lastModifiedBy>123</cp:lastModifiedBy>
  <dcterms:modified xsi:type="dcterms:W3CDTF">2021-09-16T08:50:00Z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CDD0D9B2B98D4A669122FB42C1B6F732</vt:lpwstr>
  </property>
</Properties>
</file>