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635" w:type="dxa"/>
        <w:tblInd w:w="0" w:type="dxa"/>
        <w:shd w:val="clear" w:color="auto" w:fill="auto"/>
        <w:tblLayout w:type="autofit"/>
        <w:tblCellMar>
          <w:top w:w="0" w:type="dxa"/>
          <w:left w:w="0" w:type="dxa"/>
          <w:bottom w:w="0" w:type="dxa"/>
          <w:right w:w="0" w:type="dxa"/>
        </w:tblCellMar>
      </w:tblPr>
      <w:tblGrid>
        <w:gridCol w:w="750"/>
        <w:gridCol w:w="750"/>
        <w:gridCol w:w="795"/>
        <w:gridCol w:w="2535"/>
        <w:gridCol w:w="4185"/>
        <w:gridCol w:w="810"/>
        <w:gridCol w:w="810"/>
      </w:tblGrid>
      <w:tr>
        <w:tblPrEx>
          <w:shd w:val="clear" w:color="auto" w:fill="auto"/>
          <w:tblCellMar>
            <w:top w:w="0" w:type="dxa"/>
            <w:left w:w="0" w:type="dxa"/>
            <w:bottom w:w="0" w:type="dxa"/>
            <w:right w:w="0" w:type="dxa"/>
          </w:tblCellMar>
        </w:tblPrEx>
        <w:trPr>
          <w:trHeight w:val="285" w:hRule="atLeast"/>
        </w:trPr>
        <w:tc>
          <w:tcPr>
            <w:tcW w:w="75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75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795"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25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18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10" w:hRule="atLeast"/>
        </w:trPr>
        <w:tc>
          <w:tcPr>
            <w:tcW w:w="1063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40"/>
                <w:szCs w:val="40"/>
                <w:u w:val="none"/>
              </w:rPr>
            </w:pPr>
            <w:r>
              <w:rPr>
                <w:rFonts w:hint="default" w:ascii="华文中宋" w:hAnsi="华文中宋" w:eastAsia="华文中宋" w:cs="华文中宋"/>
                <w:i w:val="0"/>
                <w:color w:val="000000"/>
                <w:kern w:val="0"/>
                <w:sz w:val="40"/>
                <w:szCs w:val="40"/>
                <w:u w:val="none"/>
                <w:lang w:val="en-US" w:eastAsia="zh-CN" w:bidi="ar"/>
              </w:rPr>
              <w:t>2021年度部门整体支出绩效自评表</w:t>
            </w:r>
          </w:p>
        </w:tc>
      </w:tr>
      <w:tr>
        <w:tblPrEx>
          <w:shd w:val="clear" w:color="auto" w:fill="auto"/>
          <w:tblCellMar>
            <w:top w:w="0" w:type="dxa"/>
            <w:left w:w="0" w:type="dxa"/>
            <w:bottom w:w="0" w:type="dxa"/>
            <w:right w:w="0" w:type="dxa"/>
          </w:tblCellMar>
        </w:tblPrEx>
        <w:trPr>
          <w:trHeight w:val="440" w:hRule="atLeast"/>
        </w:trPr>
        <w:tc>
          <w:tcPr>
            <w:tcW w:w="901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自评单位：</w:t>
            </w:r>
          </w:p>
        </w:tc>
        <w:tc>
          <w:tcPr>
            <w:tcW w:w="810"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70" w:hRule="atLeast"/>
        </w:trPr>
        <w:tc>
          <w:tcPr>
            <w:tcW w:w="22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评价指标</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指标解释</w:t>
            </w:r>
          </w:p>
        </w:tc>
        <w:tc>
          <w:tcPr>
            <w:tcW w:w="4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指标说明</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参考</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分值</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自评分</w:t>
            </w:r>
          </w:p>
        </w:tc>
      </w:tr>
      <w:tr>
        <w:tblPrEx>
          <w:shd w:val="clear" w:color="auto" w:fill="auto"/>
          <w:tblCellMar>
            <w:top w:w="0" w:type="dxa"/>
            <w:left w:w="0" w:type="dxa"/>
            <w:bottom w:w="0" w:type="dxa"/>
            <w:right w:w="0" w:type="dxa"/>
          </w:tblCellMar>
        </w:tblPrEx>
        <w:trPr>
          <w:trHeight w:val="48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二级指标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三级</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指标</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4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0"/>
                <w:szCs w:val="20"/>
                <w:u w:val="none"/>
              </w:rPr>
            </w:pPr>
          </w:p>
        </w:tc>
      </w:tr>
      <w:tr>
        <w:tblPrEx>
          <w:shd w:val="clear" w:color="auto" w:fill="auto"/>
          <w:tblCellMar>
            <w:top w:w="0" w:type="dxa"/>
            <w:left w:w="0" w:type="dxa"/>
            <w:bottom w:w="0" w:type="dxa"/>
            <w:right w:w="0" w:type="dxa"/>
          </w:tblCellMar>
        </w:tblPrEx>
        <w:trPr>
          <w:trHeight w:val="112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投</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入</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目标</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设定</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绩效目标合理性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部门所设立的整体绩效目标依据是否充分，是否符合客观实际，用以反映和考核部门整体绩效目标与部门履职、年度工作任务的相符性情况。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评价要点：①是否符合国家法律法规、国民经济和社会发展总体规划；②是否符合部门“三定”方案确定的职责；③是否符合部门制定的中长期实施规划。</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3</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绩效指标明确性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部门依据整体绩效目标所设定的绩效指标是否清晰、细化、可衡量，用以反映和考核部门整体绩效目标的明细化情况。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评价要点：①是否将部门整体的绩效目标细化分解为具体的工作任务；②是否通过清晰、可衡量的指标值予以体现。    ③是否与部门年度的任务数或计划数相对应；④是否与本年度部门预算资金相匹配。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3</w:t>
            </w:r>
          </w:p>
        </w:tc>
      </w:tr>
      <w:tr>
        <w:tblPrEx>
          <w:shd w:val="clear" w:color="auto" w:fill="auto"/>
          <w:tblCellMar>
            <w:top w:w="0" w:type="dxa"/>
            <w:left w:w="0" w:type="dxa"/>
            <w:bottom w:w="0" w:type="dxa"/>
            <w:right w:w="0" w:type="dxa"/>
          </w:tblCellMar>
        </w:tblPrEx>
        <w:trPr>
          <w:trHeight w:val="102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过</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程</w:t>
            </w:r>
          </w:p>
        </w:tc>
        <w:tc>
          <w:tcPr>
            <w:tcW w:w="7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预算</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整体支出预算执行率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部门本年度预算完成数与预算数的比率，用以反映和考核部门预算完成程度。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整体支出预算执行率=（部门整体支出预算完成数/预算数）×100%。部门整体支出预算完成数：部门本年度实际完成的预算数。部门整体支出预算数：经批复的本年度部门（调整）预算数。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4</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项目支出预算执行率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部门本年度项目支出完成数与项目支出预算数的比率，用以反映和考核项目支出预算完成程度。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项目支出预算执行率=（项目支出预算完成数/预算数）×100%。项目支出预算完成数：本年度实际完成的项目支出数。项目支出预算数：经批复的本年度项目支出（调整）预算数。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4</w:t>
            </w:r>
          </w:p>
        </w:tc>
      </w:tr>
      <w:tr>
        <w:tblPrEx>
          <w:shd w:val="clear" w:color="auto" w:fill="auto"/>
          <w:tblCellMar>
            <w:top w:w="0" w:type="dxa"/>
            <w:left w:w="0" w:type="dxa"/>
            <w:bottom w:w="0" w:type="dxa"/>
            <w:right w:w="0" w:type="dxa"/>
          </w:tblCellMar>
        </w:tblPrEx>
        <w:trPr>
          <w:trHeight w:val="18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项目支出预算调整率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部门本年度项目支出预算调整数与年初预算数的比率，用以反映和考核部门项目支出预算的调整程度。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项目支出预算调整率=（项目支出预算调整数/项目支出年初预算数）×100%。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项目支出预算调整数：部门在本年度内涉及项目支出预算的追加、追减或结构调整的资金总和（因落实国家政策、发生不可抗力、上级部门或同级党委政府临时交办而产生的调整除外）。属于切块资金的，年初预算数取单位申报金额与财政归口科室核定金额孰低值。</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3</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“三公经费”控制率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部门本年度“三公经费”实际支出数与预算安排数的比率，用以反映和考核部门对“三公经费”的实际控制程度。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“三公经费”控制率=（“三公经费”实际支出数/“三公经费”预算安排数）×100%。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三公经费：公务用车运行维护费、公务接待费、因公出国（境）费用</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1</w:t>
            </w:r>
          </w:p>
        </w:tc>
      </w:tr>
      <w:tr>
        <w:tblPrEx>
          <w:shd w:val="clear" w:color="auto" w:fill="auto"/>
          <w:tblCellMar>
            <w:top w:w="0" w:type="dxa"/>
            <w:left w:w="0" w:type="dxa"/>
            <w:bottom w:w="0" w:type="dxa"/>
            <w:right w:w="0" w:type="dxa"/>
          </w:tblCellMar>
        </w:tblPrEx>
        <w:trPr>
          <w:trHeight w:val="112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过</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程</w:t>
            </w:r>
          </w:p>
        </w:tc>
        <w:tc>
          <w:tcPr>
            <w:tcW w:w="75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预算执行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政府采购执行率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部门本年度实际政府采购金额与政府采购预算的比率，用以反映和考核部门政府采购预算执行情况。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政府采购执行率=（实际政府采购金额/政府采购预算数）×100%；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政府采购预算：采购单位根据事业发展计划和行政任务编制的、并经过规定程序批准的年度政府采购计划金额。</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政府采购预算调整率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本年度政府采购预算调整数与年初预算数的比率，用以反映和考核部门政府采购预算的调整程度。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政府采购预算调整率=（政府采购预算调整数/政府采购年初预算数）×100%。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政府采购预算调整数：本年度内涉及政府采购预算的追加、追减或结构调整的资金总和。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12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预算</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管理制度健全性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部门为加强预算管理、规范财务行为而制定的管理制度是否健全完整，用以反映和考核部门预算管理制度对完成主要职责或促进事业发展的保障情况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评价要点：①是否已制定或具有预算资金管理办法、内部财务管理制度、会计核算制度等管理制度；②相关管理制度是否合法、合规、完整；③相关管理制度是否得到有效执行。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资金使用合规性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部门使用预算资金是否符合相关的预算财务管理制度的规定，用以反映和考核部门预算资金的规范运行情况。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虚列支出等情况。</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3</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预决算信息公开性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部门是否按照政府信息公开有关规定公开相关预决算信息，用以反映和考核部门预决算管理的公开透明情况。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评价要点：①是否按规定内容公开预决算信息；②是否按规定时限公开预决算信息。预决算信息是指与部门预算、执行、决算、监督、绩效等管理相关的信息。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基础信息完善性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部门基础信息是否完善，用以反映和考核基础信息对预算管理工作的支撑情况。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评价要点：基础数据信息和会计信息资料是否真实、是否完整、是否准确</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35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资产</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管理</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管理制度健全性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部门为加强资产管理、规范资产管理行为而制定的管理制度是否健全完整，用以反映和考核部门资产管理制度对完成主要职责或促进社会发展的保障情况。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评价要点：①是否已制定或具有资产管理制度；②相关资金管理制度是否合法、合规、完整；③相关资产管理制度是否得到有效执行。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资产管理安全性</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部门的资产是否保存完整、使用合规、配置合理、处置规范、收入及时足额上缴，用以反映和考核部门资产安全运行情况。</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评价要点：①资产保存是否完整；②资产配置是否合理；③资产处置是否规范；④资产账务管理是否合规，是否帐实相符；⑤资产是否有偿使用及处置收入及时足额上缴。</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固定资产利用率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部门实际在用固定资产总额与所有固定资产总额的比率，用以反映和考核部门固定资产使用效率程度。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固定资产利用率=（实际在用固定资产总额/所有固定资产总额）×100%。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1</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绩效监控</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绩效监控开展情况</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部门按要求开展预算绩效监控</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评价单位是否开展绩效运行监控工作，及时了解项目支出进度，预警支出进度慢的项目，确实无法支出的项目是否及时申请调整。</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2</w:t>
            </w:r>
          </w:p>
        </w:tc>
      </w:tr>
      <w:tr>
        <w:tblPrEx>
          <w:shd w:val="clear" w:color="auto" w:fill="auto"/>
          <w:tblCellMar>
            <w:top w:w="0" w:type="dxa"/>
            <w:left w:w="0" w:type="dxa"/>
            <w:bottom w:w="0" w:type="dxa"/>
            <w:right w:w="0" w:type="dxa"/>
          </w:tblCellMar>
        </w:tblPrEx>
        <w:trPr>
          <w:trHeight w:val="102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产</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出</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职责</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履行</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实际完成率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部门履行职责而实际完成工作数与计划工作数的比率，用以反映和考核部门履职工作任务目标的实现程度。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实际完成率=（实际完成工作数/计划工作数）×100%。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实际完成工作数：一定时期（年度或规划期）内部门实际完成工作任务的数量。</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产出与效果共60分，根据单位实际情况设置指标并赋予相应分值</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7</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完成及时率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部门在规定时限内及时完成的实际工作数与计划工作数的比率,用以反映和考核部门履职时效目标的实现程度。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完成及时率=（及时完成实际工作数/计划工作数）×100%。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及时完成实际工作数：部门按照整体绩效目标确定的时限实际完成的工作任务数量。</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7</w:t>
            </w:r>
          </w:p>
        </w:tc>
      </w:tr>
      <w:tr>
        <w:tblPrEx>
          <w:shd w:val="clear" w:color="auto" w:fill="auto"/>
          <w:tblCellMar>
            <w:top w:w="0" w:type="dxa"/>
            <w:left w:w="0" w:type="dxa"/>
            <w:bottom w:w="0" w:type="dxa"/>
            <w:right w:w="0" w:type="dxa"/>
          </w:tblCellMar>
        </w:tblPrEx>
        <w:trPr>
          <w:trHeight w:val="11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质量达标率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达到质量标准（绩效标准值）的实际工作数与计划工作数的比率,用以反映和考核部门履职质量目标的实现程度。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质量达标率=（质量达标实际工作数/计划工作数）×100%。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质量达标实际工作数：一定时期（年度或规划期）内部门实际完成工作数中达到部门绩效目标要求（绩效标准值）的工作任务数量。</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7</w:t>
            </w:r>
          </w:p>
        </w:tc>
      </w:tr>
      <w:tr>
        <w:tblPrEx>
          <w:shd w:val="clear" w:color="auto" w:fill="auto"/>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重点工作办结率</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部门年度重点工作实际完成数与交办或下达数的比率，用以反映部门对重点工作的办理落实程度。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重点工作办结率=（重点工作实际完成数/交办或下达数）×100%。</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重点工作是指党委、政府、人大、相关部门交办或下达的工作任务。</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7</w:t>
            </w:r>
          </w:p>
        </w:tc>
      </w:tr>
      <w:tr>
        <w:tblPrEx>
          <w:shd w:val="clear" w:color="auto" w:fill="auto"/>
          <w:tblCellMar>
            <w:top w:w="0" w:type="dxa"/>
            <w:left w:w="0" w:type="dxa"/>
            <w:bottom w:w="0" w:type="dxa"/>
            <w:right w:w="0" w:type="dxa"/>
          </w:tblCellMar>
        </w:tblPrEx>
        <w:trPr>
          <w:trHeight w:val="96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效</w:t>
            </w:r>
            <w:r>
              <w:rPr>
                <w:rFonts w:hint="default" w:ascii="仿宋_GB2312" w:hAnsi="宋体" w:eastAsia="仿宋_GB2312" w:cs="仿宋_GB2312"/>
                <w:i w:val="0"/>
                <w:color w:val="000000"/>
                <w:kern w:val="0"/>
                <w:sz w:val="18"/>
                <w:szCs w:val="18"/>
                <w:u w:val="none"/>
                <w:lang w:val="en-US" w:eastAsia="zh-CN" w:bidi="ar"/>
              </w:rPr>
              <w:br w:type="textWrapping"/>
            </w:r>
            <w:r>
              <w:rPr>
                <w:rFonts w:hint="default" w:ascii="仿宋_GB2312" w:hAnsi="宋体" w:eastAsia="仿宋_GB2312" w:cs="仿宋_GB2312"/>
                <w:i w:val="0"/>
                <w:color w:val="000000"/>
                <w:kern w:val="0"/>
                <w:sz w:val="18"/>
                <w:szCs w:val="18"/>
                <w:u w:val="none"/>
                <w:lang w:val="en-US" w:eastAsia="zh-CN" w:bidi="ar"/>
              </w:rPr>
              <w:t>果</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履职效益</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经济效益</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部门履行职责对经济发展所带来的直接或间接影响。</w:t>
            </w:r>
          </w:p>
        </w:tc>
        <w:tc>
          <w:tcPr>
            <w:tcW w:w="4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8</w:t>
            </w:r>
          </w:p>
        </w:tc>
      </w:tr>
      <w:tr>
        <w:tblPrEx>
          <w:shd w:val="clear" w:color="auto" w:fill="auto"/>
          <w:tblCellMar>
            <w:top w:w="0" w:type="dxa"/>
            <w:left w:w="0" w:type="dxa"/>
            <w:bottom w:w="0" w:type="dxa"/>
            <w:right w:w="0" w:type="dxa"/>
          </w:tblCellMar>
        </w:tblPrEx>
        <w:trPr>
          <w:trHeight w:val="9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社会效益</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部门履行职责对社会发展所带来的直接或间接影响。</w:t>
            </w:r>
          </w:p>
        </w:tc>
        <w:tc>
          <w:tcPr>
            <w:tcW w:w="4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7</w:t>
            </w:r>
          </w:p>
        </w:tc>
      </w:tr>
      <w:tr>
        <w:tblPrEx>
          <w:tblCellMar>
            <w:top w:w="0" w:type="dxa"/>
            <w:left w:w="0" w:type="dxa"/>
            <w:bottom w:w="0" w:type="dxa"/>
            <w:right w:w="0" w:type="dxa"/>
          </w:tblCellMar>
        </w:tblPrEx>
        <w:trPr>
          <w:trHeight w:val="88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生态效益</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部门履行职责对生态环境所带来的直接或间接影响。</w:t>
            </w:r>
          </w:p>
        </w:tc>
        <w:tc>
          <w:tcPr>
            <w:tcW w:w="4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8</w:t>
            </w:r>
          </w:p>
        </w:tc>
      </w:tr>
      <w:tr>
        <w:tblPrEx>
          <w:tblCellMar>
            <w:top w:w="0" w:type="dxa"/>
            <w:left w:w="0" w:type="dxa"/>
            <w:bottom w:w="0" w:type="dxa"/>
            <w:right w:w="0" w:type="dxa"/>
          </w:tblCellMar>
        </w:tblPrEx>
        <w:trPr>
          <w:trHeight w:val="102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社会公众或服务对象满意度</w:t>
            </w:r>
          </w:p>
        </w:tc>
        <w:tc>
          <w:tcPr>
            <w:tcW w:w="2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社会公众或部门的服务对象对部门履职效果的满意程度。</w:t>
            </w:r>
          </w:p>
        </w:tc>
        <w:tc>
          <w:tcPr>
            <w:tcW w:w="4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社会公众或服务对象是指部门履行职责而影响到的部门、群体或个人。一般采取社会调查的方式。</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仿宋_GB2312" w:hAnsi="宋体" w:eastAsia="仿宋_GB2312" w:cs="仿宋_GB2312"/>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lang w:val="en-US" w:eastAsia="zh-CN"/>
              </w:rPr>
            </w:pPr>
            <w:r>
              <w:rPr>
                <w:rFonts w:hint="eastAsia" w:ascii="仿宋_GB2312" w:hAnsi="宋体" w:eastAsia="仿宋_GB2312" w:cs="仿宋_GB2312"/>
                <w:i w:val="0"/>
                <w:color w:val="000000"/>
                <w:sz w:val="18"/>
                <w:szCs w:val="18"/>
                <w:u w:val="none"/>
                <w:lang w:val="en-US" w:eastAsia="zh-CN"/>
              </w:rPr>
              <w:t>7</w:t>
            </w:r>
          </w:p>
        </w:tc>
      </w:tr>
      <w:tr>
        <w:tblPrEx>
          <w:tblCellMar>
            <w:top w:w="0" w:type="dxa"/>
            <w:left w:w="0" w:type="dxa"/>
            <w:bottom w:w="0" w:type="dxa"/>
            <w:right w:w="0" w:type="dxa"/>
          </w:tblCellMar>
        </w:tblPrEx>
        <w:trPr>
          <w:trHeight w:val="400" w:hRule="atLeast"/>
        </w:trPr>
        <w:tc>
          <w:tcPr>
            <w:tcW w:w="9015"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自评总分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96</w:t>
            </w:r>
            <w:bookmarkStart w:id="0" w:name="_GoBack"/>
            <w:bookmarkEnd w:id="0"/>
          </w:p>
        </w:tc>
      </w:tr>
    </w:tbl>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left"/>
        <w:rPr>
          <w:rFonts w:hint="eastAsia" w:cs="黑体" w:asciiTheme="minorEastAsia" w:hAnsiTheme="minorEastAsia" w:eastAsiaTheme="minorEastAsia"/>
          <w:color w:val="000000"/>
          <w:kern w:val="0"/>
          <w:sz w:val="32"/>
          <w:szCs w:val="32"/>
          <w:lang w:val="en-US"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2ZGNiNDkwMTIyZTMyNDE2NzYyZWIxMzYwMjVlZTc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A67DB"/>
    <w:rsid w:val="001C3C29"/>
    <w:rsid w:val="001D51E5"/>
    <w:rsid w:val="001E080D"/>
    <w:rsid w:val="001F0C3B"/>
    <w:rsid w:val="00214427"/>
    <w:rsid w:val="00264552"/>
    <w:rsid w:val="00264EF9"/>
    <w:rsid w:val="00265724"/>
    <w:rsid w:val="0027426B"/>
    <w:rsid w:val="003130C4"/>
    <w:rsid w:val="0032192B"/>
    <w:rsid w:val="003479BD"/>
    <w:rsid w:val="003768D5"/>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F3657"/>
    <w:rsid w:val="00812ED5"/>
    <w:rsid w:val="008277D9"/>
    <w:rsid w:val="0084478C"/>
    <w:rsid w:val="008A3E8D"/>
    <w:rsid w:val="009237C4"/>
    <w:rsid w:val="00944C48"/>
    <w:rsid w:val="00950252"/>
    <w:rsid w:val="00967F5D"/>
    <w:rsid w:val="009A0F95"/>
    <w:rsid w:val="009B3ADF"/>
    <w:rsid w:val="009C3B52"/>
    <w:rsid w:val="009E6E9A"/>
    <w:rsid w:val="00A01D2B"/>
    <w:rsid w:val="00A42218"/>
    <w:rsid w:val="00A70249"/>
    <w:rsid w:val="00A92440"/>
    <w:rsid w:val="00A92E9F"/>
    <w:rsid w:val="00AC286B"/>
    <w:rsid w:val="00B33BEA"/>
    <w:rsid w:val="00B57C9F"/>
    <w:rsid w:val="00B63572"/>
    <w:rsid w:val="00B845B3"/>
    <w:rsid w:val="00B85D8B"/>
    <w:rsid w:val="00BB4A40"/>
    <w:rsid w:val="00BE3674"/>
    <w:rsid w:val="00C10681"/>
    <w:rsid w:val="00C3049A"/>
    <w:rsid w:val="00C31B1E"/>
    <w:rsid w:val="00C77645"/>
    <w:rsid w:val="00CE04C3"/>
    <w:rsid w:val="00CE76A0"/>
    <w:rsid w:val="00D148C6"/>
    <w:rsid w:val="00D17A8A"/>
    <w:rsid w:val="00D415BA"/>
    <w:rsid w:val="00D44D62"/>
    <w:rsid w:val="00D75699"/>
    <w:rsid w:val="00DD06FF"/>
    <w:rsid w:val="00DD5FE9"/>
    <w:rsid w:val="00E00C7A"/>
    <w:rsid w:val="00E55B68"/>
    <w:rsid w:val="00E67BE6"/>
    <w:rsid w:val="00E8683C"/>
    <w:rsid w:val="00F74360"/>
    <w:rsid w:val="00FB462F"/>
    <w:rsid w:val="00FE16FA"/>
    <w:rsid w:val="00FE328A"/>
    <w:rsid w:val="05DA0CDE"/>
    <w:rsid w:val="064D6C4C"/>
    <w:rsid w:val="15310519"/>
    <w:rsid w:val="15313E7B"/>
    <w:rsid w:val="167A015C"/>
    <w:rsid w:val="19382F9C"/>
    <w:rsid w:val="203144CA"/>
    <w:rsid w:val="22582856"/>
    <w:rsid w:val="314F7827"/>
    <w:rsid w:val="3250280A"/>
    <w:rsid w:val="32811179"/>
    <w:rsid w:val="33AC0D4E"/>
    <w:rsid w:val="403B1C3B"/>
    <w:rsid w:val="43CE5F47"/>
    <w:rsid w:val="5DAA3A63"/>
    <w:rsid w:val="6F133B6B"/>
    <w:rsid w:val="702066C2"/>
    <w:rsid w:val="7AC0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81"/>
    <w:basedOn w:val="6"/>
    <w:qFormat/>
    <w:uiPriority w:val="0"/>
    <w:rPr>
      <w:rFonts w:hint="default" w:ascii="仿宋_GB2312" w:eastAsia="仿宋_GB2312" w:cs="仿宋_GB2312"/>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4126-F3C8-492C-8834-B7F970C9E9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12763</Words>
  <Characters>13653</Characters>
  <Lines>30</Lines>
  <Paragraphs>19</Paragraphs>
  <TotalTime>4</TotalTime>
  <ScaleCrop>false</ScaleCrop>
  <LinksUpToDate>false</LinksUpToDate>
  <CharactersWithSpaces>15249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2021-07-19T09:07:00Z</cp:lastPrinted>
  <dcterms:modified xsi:type="dcterms:W3CDTF">2022-08-03T08:21:29Z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9BE4140D94F04E0B9760FD94D5F433DC</vt:lpwstr>
  </property>
</Properties>
</file>