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560"/>
        <w:rPr>
          <w:rFonts w:eastAsia="黑体"/>
          <w:b/>
          <w:color w:val="000000"/>
          <w:sz w:val="44"/>
          <w:szCs w:val="44"/>
        </w:rPr>
        <w:sectPr>
          <w:headerReference r:id="rId7" w:type="first"/>
          <w:footerReference r:id="rId10" w:type="first"/>
          <w:headerReference r:id="rId5" w:type="default"/>
          <w:footerReference r:id="rId8" w:type="default"/>
          <w:headerReference r:id="rId6" w:type="even"/>
          <w:footerReference r:id="rId9" w:type="even"/>
          <w:pgSz w:w="23814" w:h="16839" w:orient="landscape"/>
          <w:pgMar w:top="1800" w:right="1440" w:bottom="1800" w:left="1440" w:header="851" w:footer="992" w:gutter="0"/>
          <w:pgNumType w:fmt="upperRoman" w:start="1"/>
          <w:cols w:space="425" w:num="2"/>
          <w:docGrid w:type="lines" w:linePitch="381" w:charSpace="0"/>
        </w:sectPr>
      </w:pPr>
      <w:bookmarkStart w:id="215" w:name="_GoBack"/>
      <w:bookmarkEnd w:id="215"/>
      <w:r>
        <w:rPr>
          <w:rFonts w:hint="eastAsia"/>
        </w:rPr>
        <w:t xml:space="preserve">                                                                  </w:t>
      </w:r>
      <w:r>
        <w:rPr>
          <w:rFonts w:eastAsia="黑体"/>
          <w:b/>
          <w:color w:val="000000"/>
          <w:sz w:val="44"/>
          <w:szCs w:val="44"/>
        </w:rPr>
        <w:t>目    录</w:t>
      </w:r>
    </w:p>
    <w:p>
      <w:pPr>
        <w:pStyle w:val="15"/>
        <w:ind w:firstLine="562"/>
        <w:rPr>
          <w:rFonts w:eastAsiaTheme="minorEastAsia"/>
          <w:b w:val="0"/>
          <w:bCs w:val="0"/>
          <w:caps w:val="0"/>
          <w:kern w:val="2"/>
          <w:sz w:val="21"/>
          <w:szCs w:val="22"/>
        </w:rPr>
      </w:pPr>
      <w:r>
        <w:rPr>
          <w:szCs w:val="20"/>
        </w:rPr>
        <w:fldChar w:fldCharType="begin"/>
      </w:r>
      <w:r>
        <w:rPr>
          <w:szCs w:val="20"/>
        </w:rPr>
        <w:instrText xml:space="preserve"> TOC \o "1-2" \h \z \u </w:instrText>
      </w:r>
      <w:r>
        <w:rPr>
          <w:szCs w:val="20"/>
        </w:rPr>
        <w:fldChar w:fldCharType="separate"/>
      </w:r>
      <w:r>
        <w:fldChar w:fldCharType="begin"/>
      </w:r>
      <w:r>
        <w:instrText xml:space="preserve"> HYPERLINK \l "_Toc485040244" </w:instrText>
      </w:r>
      <w:r>
        <w:fldChar w:fldCharType="separate"/>
      </w:r>
      <w:r>
        <w:rPr>
          <w:rStyle w:val="28"/>
          <w:rFonts w:hint="eastAsia"/>
        </w:rPr>
        <w:t>前</w:t>
      </w:r>
      <w:r>
        <w:rPr>
          <w:rStyle w:val="28"/>
        </w:rPr>
        <w:t xml:space="preserve">  </w:t>
      </w:r>
      <w:r>
        <w:rPr>
          <w:rStyle w:val="28"/>
          <w:rFonts w:hint="eastAsia"/>
        </w:rPr>
        <w:t>言</w:t>
      </w:r>
      <w:r>
        <w:tab/>
      </w:r>
      <w:r>
        <w:fldChar w:fldCharType="begin"/>
      </w:r>
      <w:r>
        <w:instrText xml:space="preserve"> PAGEREF _Toc485040244 \h </w:instrText>
      </w:r>
      <w:r>
        <w:fldChar w:fldCharType="separate"/>
      </w:r>
      <w:r>
        <w:t>1</w:t>
      </w:r>
      <w:r>
        <w:fldChar w:fldCharType="end"/>
      </w:r>
      <w:r>
        <w:fldChar w:fldCharType="end"/>
      </w:r>
    </w:p>
    <w:p>
      <w:pPr>
        <w:pStyle w:val="15"/>
        <w:ind w:firstLine="562"/>
        <w:rPr>
          <w:rFonts w:eastAsiaTheme="minorEastAsia"/>
          <w:b w:val="0"/>
          <w:bCs w:val="0"/>
          <w:caps w:val="0"/>
          <w:kern w:val="2"/>
          <w:sz w:val="21"/>
          <w:szCs w:val="22"/>
        </w:rPr>
      </w:pPr>
      <w:r>
        <w:fldChar w:fldCharType="begin"/>
      </w:r>
      <w:r>
        <w:instrText xml:space="preserve"> HYPERLINK \l "_Toc485040245" </w:instrText>
      </w:r>
      <w:r>
        <w:fldChar w:fldCharType="separate"/>
      </w:r>
      <w:r>
        <w:rPr>
          <w:rStyle w:val="28"/>
          <w:rFonts w:hint="eastAsia"/>
        </w:rPr>
        <w:t>第一章</w:t>
      </w:r>
      <w:r>
        <w:rPr>
          <w:rStyle w:val="28"/>
        </w:rPr>
        <w:t xml:space="preserve">  </w:t>
      </w:r>
      <w:r>
        <w:rPr>
          <w:rStyle w:val="28"/>
          <w:rFonts w:hint="eastAsia"/>
        </w:rPr>
        <w:t>规划修改背景</w:t>
      </w:r>
      <w:r>
        <w:tab/>
      </w:r>
      <w:r>
        <w:fldChar w:fldCharType="begin"/>
      </w:r>
      <w:r>
        <w:instrText xml:space="preserve"> PAGEREF _Toc485040245 \h </w:instrText>
      </w:r>
      <w:r>
        <w:fldChar w:fldCharType="separate"/>
      </w:r>
      <w:r>
        <w:t>2</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"_Toc485040246" </w:instrText>
      </w:r>
      <w:r>
        <w:fldChar w:fldCharType="separate"/>
      </w:r>
      <w:r>
        <w:rPr>
          <w:rStyle w:val="28"/>
          <w:rFonts w:hint="eastAsia"/>
        </w:rPr>
        <w:t>第一节</w:t>
      </w:r>
      <w:r>
        <w:rPr>
          <w:rStyle w:val="28"/>
        </w:rPr>
        <w:t xml:space="preserve">  </w:t>
      </w:r>
      <w:r>
        <w:rPr>
          <w:rStyle w:val="28"/>
          <w:rFonts w:hint="eastAsia"/>
        </w:rPr>
        <w:t>国家、省宏观背景变化</w:t>
      </w:r>
      <w:r>
        <w:tab/>
      </w:r>
      <w:r>
        <w:fldChar w:fldCharType="begin"/>
      </w:r>
      <w:r>
        <w:instrText xml:space="preserve"> PAGEREF _Toc485040246 \h </w:instrText>
      </w:r>
      <w:r>
        <w:fldChar w:fldCharType="separate"/>
      </w:r>
      <w:r>
        <w:t>2</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"_Toc485040247" </w:instrText>
      </w:r>
      <w:r>
        <w:fldChar w:fldCharType="separate"/>
      </w:r>
      <w:r>
        <w:rPr>
          <w:rStyle w:val="28"/>
          <w:rFonts w:hint="eastAsia"/>
        </w:rPr>
        <w:t>第二节</w:t>
      </w:r>
      <w:r>
        <w:rPr>
          <w:rStyle w:val="28"/>
        </w:rPr>
        <w:t xml:space="preserve">  </w:t>
      </w:r>
      <w:r>
        <w:rPr>
          <w:rStyle w:val="28"/>
          <w:rFonts w:hint="eastAsia"/>
        </w:rPr>
        <w:t>区域内部发展因素的变化</w:t>
      </w:r>
      <w:r>
        <w:tab/>
      </w:r>
      <w:r>
        <w:fldChar w:fldCharType="begin"/>
      </w:r>
      <w:r>
        <w:instrText xml:space="preserve"> PAGEREF _Toc485040247 \h </w:instrText>
      </w:r>
      <w:r>
        <w:fldChar w:fldCharType="separate"/>
      </w:r>
      <w:r>
        <w:t>3</w:t>
      </w:r>
      <w:r>
        <w:fldChar w:fldCharType="end"/>
      </w:r>
      <w:r>
        <w:fldChar w:fldCharType="end"/>
      </w:r>
    </w:p>
    <w:p>
      <w:pPr>
        <w:pStyle w:val="15"/>
        <w:ind w:firstLine="562"/>
        <w:rPr>
          <w:rFonts w:eastAsiaTheme="minorEastAsia"/>
          <w:b w:val="0"/>
          <w:bCs w:val="0"/>
          <w:caps w:val="0"/>
          <w:kern w:val="2"/>
          <w:sz w:val="21"/>
          <w:szCs w:val="22"/>
        </w:rPr>
      </w:pPr>
      <w:r>
        <w:fldChar w:fldCharType="begin"/>
      </w:r>
      <w:r>
        <w:instrText xml:space="preserve"> HYPERLINK \l "_Toc485040248" </w:instrText>
      </w:r>
      <w:r>
        <w:fldChar w:fldCharType="separate"/>
      </w:r>
      <w:r>
        <w:rPr>
          <w:rStyle w:val="28"/>
          <w:rFonts w:hint="eastAsia"/>
        </w:rPr>
        <w:t>第二章</w:t>
      </w:r>
      <w:r>
        <w:rPr>
          <w:rStyle w:val="28"/>
        </w:rPr>
        <w:t xml:space="preserve">  </w:t>
      </w:r>
      <w:r>
        <w:rPr>
          <w:rStyle w:val="28"/>
          <w:rFonts w:hint="eastAsia"/>
        </w:rPr>
        <w:t>规划修改工作概述</w:t>
      </w:r>
      <w:r>
        <w:tab/>
      </w:r>
      <w:r>
        <w:fldChar w:fldCharType="begin"/>
      </w:r>
      <w:r>
        <w:instrText xml:space="preserve"> PAGEREF _Toc485040248 \h </w:instrText>
      </w:r>
      <w:r>
        <w:fldChar w:fldCharType="separate"/>
      </w:r>
      <w:r>
        <w:t>5</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"_Toc485040249" </w:instrText>
      </w:r>
      <w:r>
        <w:fldChar w:fldCharType="separate"/>
      </w:r>
      <w:r>
        <w:rPr>
          <w:rStyle w:val="28"/>
          <w:rFonts w:hint="eastAsia"/>
        </w:rPr>
        <w:t>第一节</w:t>
      </w:r>
      <w:r>
        <w:rPr>
          <w:rStyle w:val="28"/>
        </w:rPr>
        <w:t xml:space="preserve">  </w:t>
      </w:r>
      <w:r>
        <w:rPr>
          <w:rStyle w:val="28"/>
          <w:rFonts w:hint="eastAsia"/>
        </w:rPr>
        <w:t>指导思想</w:t>
      </w:r>
      <w:r>
        <w:tab/>
      </w:r>
      <w:r>
        <w:fldChar w:fldCharType="begin"/>
      </w:r>
      <w:r>
        <w:instrText xml:space="preserve"> PAGEREF _Toc485040249 \h </w:instrText>
      </w:r>
      <w:r>
        <w:fldChar w:fldCharType="separate"/>
      </w:r>
      <w:r>
        <w:t>5</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"_Toc485040250" </w:instrText>
      </w:r>
      <w:r>
        <w:fldChar w:fldCharType="separate"/>
      </w:r>
      <w:r>
        <w:rPr>
          <w:rStyle w:val="28"/>
          <w:rFonts w:hint="eastAsia"/>
        </w:rPr>
        <w:t>第二节</w:t>
      </w:r>
      <w:r>
        <w:rPr>
          <w:rStyle w:val="28"/>
        </w:rPr>
        <w:t xml:space="preserve">  </w:t>
      </w:r>
      <w:r>
        <w:rPr>
          <w:rStyle w:val="28"/>
          <w:rFonts w:hint="eastAsia"/>
        </w:rPr>
        <w:t>规划修改的依据</w:t>
      </w:r>
      <w:r>
        <w:tab/>
      </w:r>
      <w:r>
        <w:fldChar w:fldCharType="begin"/>
      </w:r>
      <w:r>
        <w:instrText xml:space="preserve"> PAGEREF _Toc485040250 \h </w:instrText>
      </w:r>
      <w:r>
        <w:fldChar w:fldCharType="separate"/>
      </w:r>
      <w:r>
        <w:t>5</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"_Toc485040251" </w:instrText>
      </w:r>
      <w:r>
        <w:fldChar w:fldCharType="separate"/>
      </w:r>
      <w:r>
        <w:rPr>
          <w:rStyle w:val="28"/>
          <w:rFonts w:hint="eastAsia"/>
        </w:rPr>
        <w:t>第三节</w:t>
      </w:r>
      <w:r>
        <w:rPr>
          <w:rStyle w:val="28"/>
        </w:rPr>
        <w:t xml:space="preserve">  </w:t>
      </w:r>
      <w:r>
        <w:rPr>
          <w:rStyle w:val="28"/>
          <w:rFonts w:hint="eastAsia"/>
        </w:rPr>
        <w:t>规划修改的原则</w:t>
      </w:r>
      <w:r>
        <w:tab/>
      </w:r>
      <w:r>
        <w:fldChar w:fldCharType="begin"/>
      </w:r>
      <w:r>
        <w:instrText xml:space="preserve"> PAGEREF _Toc485040251 \h </w:instrText>
      </w:r>
      <w:r>
        <w:fldChar w:fldCharType="separate"/>
      </w:r>
      <w:r>
        <w:t>6</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"_Toc485040252" </w:instrText>
      </w:r>
      <w:r>
        <w:fldChar w:fldCharType="separate"/>
      </w:r>
      <w:r>
        <w:rPr>
          <w:rStyle w:val="28"/>
          <w:rFonts w:hint="eastAsia"/>
        </w:rPr>
        <w:t>第四节</w:t>
      </w:r>
      <w:r>
        <w:rPr>
          <w:rStyle w:val="28"/>
        </w:rPr>
        <w:t xml:space="preserve">  </w:t>
      </w:r>
      <w:r>
        <w:rPr>
          <w:rStyle w:val="28"/>
          <w:rFonts w:hint="eastAsia"/>
        </w:rPr>
        <w:t>规划修改的工作过程</w:t>
      </w:r>
      <w:r>
        <w:tab/>
      </w:r>
      <w:r>
        <w:fldChar w:fldCharType="begin"/>
      </w:r>
      <w:r>
        <w:instrText xml:space="preserve"> PAGEREF _Toc485040252 \h </w:instrText>
      </w:r>
      <w:r>
        <w:fldChar w:fldCharType="separate"/>
      </w:r>
      <w:r>
        <w:t>7</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"_Toc485040253" </w:instrText>
      </w:r>
      <w:r>
        <w:fldChar w:fldCharType="separate"/>
      </w:r>
      <w:r>
        <w:rPr>
          <w:rStyle w:val="28"/>
          <w:rFonts w:hint="eastAsia"/>
        </w:rPr>
        <w:t>第五节</w:t>
      </w:r>
      <w:r>
        <w:rPr>
          <w:rStyle w:val="28"/>
        </w:rPr>
        <w:t xml:space="preserve">  </w:t>
      </w:r>
      <w:r>
        <w:rPr>
          <w:rStyle w:val="28"/>
          <w:rFonts w:hint="eastAsia"/>
        </w:rPr>
        <w:t>规划修改范围与期限</w:t>
      </w:r>
      <w:r>
        <w:tab/>
      </w:r>
      <w:r>
        <w:fldChar w:fldCharType="begin"/>
      </w:r>
      <w:r>
        <w:instrText xml:space="preserve"> PAGEREF _Toc485040253 \h </w:instrText>
      </w:r>
      <w:r>
        <w:fldChar w:fldCharType="separate"/>
      </w:r>
      <w:r>
        <w:t>8</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"_Toc485040254" </w:instrText>
      </w:r>
      <w:r>
        <w:fldChar w:fldCharType="separate"/>
      </w:r>
      <w:r>
        <w:rPr>
          <w:rStyle w:val="28"/>
          <w:rFonts w:hint="eastAsia"/>
        </w:rPr>
        <w:t>第六节</w:t>
      </w:r>
      <w:r>
        <w:rPr>
          <w:rStyle w:val="28"/>
        </w:rPr>
        <w:t xml:space="preserve">  </w:t>
      </w:r>
      <w:r>
        <w:rPr>
          <w:rStyle w:val="28"/>
          <w:rFonts w:hint="eastAsia"/>
        </w:rPr>
        <w:t>规划修改基础数据</w:t>
      </w:r>
      <w:r>
        <w:tab/>
      </w:r>
      <w:r>
        <w:fldChar w:fldCharType="begin"/>
      </w:r>
      <w:r>
        <w:instrText xml:space="preserve"> PAGEREF _Toc485040254 \h </w:instrText>
      </w:r>
      <w:r>
        <w:fldChar w:fldCharType="separate"/>
      </w:r>
      <w:r>
        <w:t>8</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"_Toc485040255" </w:instrText>
      </w:r>
      <w:r>
        <w:fldChar w:fldCharType="separate"/>
      </w:r>
      <w:r>
        <w:rPr>
          <w:rStyle w:val="28"/>
          <w:rFonts w:hint="eastAsia"/>
        </w:rPr>
        <w:t>第七节</w:t>
      </w:r>
      <w:r>
        <w:rPr>
          <w:rStyle w:val="28"/>
        </w:rPr>
        <w:t xml:space="preserve">  </w:t>
      </w:r>
      <w:r>
        <w:rPr>
          <w:rStyle w:val="28"/>
          <w:rFonts w:hint="eastAsia"/>
        </w:rPr>
        <w:t>规划修改主要成果</w:t>
      </w:r>
      <w:r>
        <w:tab/>
      </w:r>
      <w:r>
        <w:fldChar w:fldCharType="begin"/>
      </w:r>
      <w:r>
        <w:instrText xml:space="preserve"> PAGEREF _Toc485040255 \h </w:instrText>
      </w:r>
      <w:r>
        <w:fldChar w:fldCharType="separate"/>
      </w:r>
      <w:r>
        <w:t>8</w:t>
      </w:r>
      <w:r>
        <w:fldChar w:fldCharType="end"/>
      </w:r>
      <w:r>
        <w:fldChar w:fldCharType="end"/>
      </w:r>
    </w:p>
    <w:p>
      <w:pPr>
        <w:pStyle w:val="15"/>
        <w:ind w:firstLine="562"/>
        <w:rPr>
          <w:rFonts w:eastAsiaTheme="minorEastAsia"/>
          <w:b w:val="0"/>
          <w:bCs w:val="0"/>
          <w:caps w:val="0"/>
          <w:kern w:val="2"/>
          <w:sz w:val="21"/>
          <w:szCs w:val="22"/>
        </w:rPr>
      </w:pPr>
      <w:r>
        <w:fldChar w:fldCharType="begin"/>
      </w:r>
      <w:r>
        <w:instrText xml:space="preserve"> HYPERLINK \l "_Toc485040256" </w:instrText>
      </w:r>
      <w:r>
        <w:fldChar w:fldCharType="separate"/>
      </w:r>
      <w:r>
        <w:rPr>
          <w:rStyle w:val="28"/>
          <w:rFonts w:hint="eastAsia"/>
        </w:rPr>
        <w:t>第三章</w:t>
      </w:r>
      <w:r>
        <w:rPr>
          <w:rStyle w:val="28"/>
        </w:rPr>
        <w:t xml:space="preserve">  </w:t>
      </w:r>
      <w:r>
        <w:rPr>
          <w:rStyle w:val="28"/>
          <w:rFonts w:hint="eastAsia"/>
        </w:rPr>
        <w:t>行政区划调整情况</w:t>
      </w:r>
      <w:r>
        <w:tab/>
      </w:r>
      <w:r>
        <w:fldChar w:fldCharType="begin"/>
      </w:r>
      <w:r>
        <w:instrText xml:space="preserve"> PAGEREF _Toc485040256 \h </w:instrText>
      </w:r>
      <w:r>
        <w:fldChar w:fldCharType="separate"/>
      </w:r>
      <w:r>
        <w:t>9</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"_Toc485040257" </w:instrText>
      </w:r>
      <w:r>
        <w:fldChar w:fldCharType="separate"/>
      </w:r>
      <w:r>
        <w:rPr>
          <w:rStyle w:val="28"/>
          <w:rFonts w:hint="eastAsia"/>
        </w:rPr>
        <w:t>第一节</w:t>
      </w:r>
      <w:r>
        <w:rPr>
          <w:rStyle w:val="28"/>
        </w:rPr>
        <w:t xml:space="preserve">  </w:t>
      </w:r>
      <w:r>
        <w:rPr>
          <w:rStyle w:val="28"/>
          <w:rFonts w:hint="eastAsia"/>
        </w:rPr>
        <w:t>耒阳市行政区划调整概况</w:t>
      </w:r>
      <w:r>
        <w:tab/>
      </w:r>
      <w:r>
        <w:fldChar w:fldCharType="begin"/>
      </w:r>
      <w:r>
        <w:instrText xml:space="preserve"> PAGEREF _Toc485040257 \h </w:instrText>
      </w:r>
      <w:r>
        <w:fldChar w:fldCharType="separate"/>
      </w:r>
      <w:r>
        <w:t>9</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"_Toc485040258" </w:instrText>
      </w:r>
      <w:r>
        <w:fldChar w:fldCharType="separate"/>
      </w:r>
      <w:r>
        <w:rPr>
          <w:rStyle w:val="28"/>
          <w:rFonts w:hint="eastAsia"/>
        </w:rPr>
        <w:t>第二节</w:t>
      </w:r>
      <w:r>
        <w:rPr>
          <w:rStyle w:val="28"/>
        </w:rPr>
        <w:t xml:space="preserve">  </w:t>
      </w:r>
      <w:r>
        <w:rPr>
          <w:rStyle w:val="28"/>
          <w:rFonts w:hint="eastAsia"/>
        </w:rPr>
        <w:t>建制村合并调整情况</w:t>
      </w:r>
      <w:r>
        <w:tab/>
      </w:r>
      <w:r>
        <w:fldChar w:fldCharType="begin"/>
      </w:r>
      <w:r>
        <w:instrText xml:space="preserve"> PAGEREF _Toc485040258 \h </w:instrText>
      </w:r>
      <w:r>
        <w:fldChar w:fldCharType="separate"/>
      </w:r>
      <w:r>
        <w:t>10</w:t>
      </w:r>
      <w:r>
        <w:fldChar w:fldCharType="end"/>
      </w:r>
      <w:r>
        <w:fldChar w:fldCharType="end"/>
      </w:r>
    </w:p>
    <w:p>
      <w:pPr>
        <w:pStyle w:val="15"/>
        <w:ind w:firstLine="562"/>
        <w:rPr>
          <w:rFonts w:eastAsiaTheme="minorEastAsia"/>
          <w:b w:val="0"/>
          <w:bCs w:val="0"/>
          <w:caps w:val="0"/>
          <w:kern w:val="2"/>
          <w:sz w:val="21"/>
          <w:szCs w:val="22"/>
        </w:rPr>
      </w:pPr>
      <w:r>
        <w:fldChar w:fldCharType="begin"/>
      </w:r>
      <w:r>
        <w:instrText xml:space="preserve"> HYPERLINK \l "_Toc485040259" </w:instrText>
      </w:r>
      <w:r>
        <w:fldChar w:fldCharType="separate"/>
      </w:r>
      <w:r>
        <w:rPr>
          <w:rStyle w:val="28"/>
          <w:rFonts w:hint="eastAsia"/>
        </w:rPr>
        <w:t>第四章</w:t>
      </w:r>
      <w:r>
        <w:rPr>
          <w:rStyle w:val="28"/>
        </w:rPr>
        <w:t xml:space="preserve">  </w:t>
      </w:r>
      <w:r>
        <w:rPr>
          <w:rStyle w:val="28"/>
          <w:rFonts w:hint="eastAsia"/>
        </w:rPr>
        <w:t>规划指标分解</w:t>
      </w:r>
      <w:r>
        <w:tab/>
      </w:r>
      <w:r>
        <w:fldChar w:fldCharType="begin"/>
      </w:r>
      <w:r>
        <w:instrText xml:space="preserve"> PAGEREF _Toc485040259 \h </w:instrText>
      </w:r>
      <w:r>
        <w:fldChar w:fldCharType="separate"/>
      </w:r>
      <w:r>
        <w:t>10</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"_Toc485040260" </w:instrText>
      </w:r>
      <w:r>
        <w:fldChar w:fldCharType="separate"/>
      </w:r>
      <w:r>
        <w:rPr>
          <w:rStyle w:val="28"/>
          <w:rFonts w:hint="eastAsia"/>
        </w:rPr>
        <w:t>第一节</w:t>
      </w:r>
      <w:r>
        <w:rPr>
          <w:rStyle w:val="28"/>
        </w:rPr>
        <w:t xml:space="preserve">  </w:t>
      </w:r>
      <w:r>
        <w:rPr>
          <w:rStyle w:val="28"/>
          <w:rFonts w:hint="eastAsia"/>
        </w:rPr>
        <w:t>规划控制指标分解原则与依据</w:t>
      </w:r>
      <w:r>
        <w:tab/>
      </w:r>
      <w:r>
        <w:fldChar w:fldCharType="begin"/>
      </w:r>
      <w:r>
        <w:instrText xml:space="preserve"> PAGEREF _Toc485040260 \h </w:instrText>
      </w:r>
      <w:r>
        <w:fldChar w:fldCharType="separate"/>
      </w:r>
      <w:r>
        <w:t>10</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"_Toc485040261" </w:instrText>
      </w:r>
      <w:r>
        <w:fldChar w:fldCharType="separate"/>
      </w:r>
      <w:r>
        <w:rPr>
          <w:rStyle w:val="28"/>
          <w:rFonts w:hint="eastAsia"/>
        </w:rPr>
        <w:t>第二节</w:t>
      </w:r>
      <w:r>
        <w:rPr>
          <w:rStyle w:val="28"/>
        </w:rPr>
        <w:t xml:space="preserve">  </w:t>
      </w:r>
      <w:r>
        <w:rPr>
          <w:rStyle w:val="28"/>
          <w:rFonts w:hint="eastAsia"/>
        </w:rPr>
        <w:t>规划控制指标分解</w:t>
      </w:r>
      <w:r>
        <w:tab/>
      </w:r>
      <w:r>
        <w:fldChar w:fldCharType="begin"/>
      </w:r>
      <w:r>
        <w:instrText xml:space="preserve"> PAGEREF _Toc485040261 \h </w:instrText>
      </w:r>
      <w:r>
        <w:fldChar w:fldCharType="separate"/>
      </w:r>
      <w:r>
        <w:t>11</w:t>
      </w:r>
      <w:r>
        <w:fldChar w:fldCharType="end"/>
      </w:r>
      <w:r>
        <w:fldChar w:fldCharType="end"/>
      </w:r>
    </w:p>
    <w:p>
      <w:pPr>
        <w:pStyle w:val="15"/>
        <w:ind w:firstLine="562"/>
        <w:rPr>
          <w:rFonts w:eastAsiaTheme="minorEastAsia"/>
          <w:b w:val="0"/>
          <w:bCs w:val="0"/>
          <w:caps w:val="0"/>
          <w:kern w:val="2"/>
          <w:sz w:val="21"/>
          <w:szCs w:val="22"/>
        </w:rPr>
      </w:pPr>
      <w:r>
        <w:fldChar w:fldCharType="begin"/>
      </w:r>
      <w:r>
        <w:instrText xml:space="preserve"> HYPERLINK \l "_Toc485040262" </w:instrText>
      </w:r>
      <w:r>
        <w:fldChar w:fldCharType="separate"/>
      </w:r>
      <w:r>
        <w:rPr>
          <w:rStyle w:val="28"/>
          <w:rFonts w:hint="eastAsia"/>
        </w:rPr>
        <w:t>第五章</w:t>
      </w:r>
      <w:r>
        <w:rPr>
          <w:rStyle w:val="28"/>
        </w:rPr>
        <w:t xml:space="preserve">  </w:t>
      </w:r>
      <w:r>
        <w:rPr>
          <w:rStyle w:val="28"/>
          <w:rFonts w:hint="eastAsia"/>
        </w:rPr>
        <w:t>土地利用布局调整</w:t>
      </w:r>
      <w:r>
        <w:tab/>
      </w:r>
      <w:r>
        <w:fldChar w:fldCharType="begin"/>
      </w:r>
      <w:r>
        <w:instrText xml:space="preserve"> PAGEREF _Toc485040262 \h </w:instrText>
      </w:r>
      <w:r>
        <w:fldChar w:fldCharType="separate"/>
      </w:r>
      <w:r>
        <w:t>17</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"_Toc485040263" </w:instrText>
      </w:r>
      <w:r>
        <w:fldChar w:fldCharType="separate"/>
      </w:r>
      <w:r>
        <w:rPr>
          <w:rStyle w:val="28"/>
          <w:rFonts w:hint="eastAsia"/>
        </w:rPr>
        <w:t>第一节</w:t>
      </w:r>
      <w:r>
        <w:rPr>
          <w:rStyle w:val="28"/>
        </w:rPr>
        <w:t xml:space="preserve">  </w:t>
      </w:r>
      <w:r>
        <w:rPr>
          <w:rStyle w:val="28"/>
          <w:rFonts w:hint="eastAsia"/>
        </w:rPr>
        <w:t>耕地与基本农田调整</w:t>
      </w:r>
      <w:r>
        <w:tab/>
      </w:r>
      <w:r>
        <w:fldChar w:fldCharType="begin"/>
      </w:r>
      <w:r>
        <w:instrText xml:space="preserve"> PAGEREF _Toc485040263 \h </w:instrText>
      </w:r>
      <w:r>
        <w:fldChar w:fldCharType="separate"/>
      </w:r>
      <w:r>
        <w:t>17</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"_Toc485040264" </w:instrText>
      </w:r>
      <w:r>
        <w:fldChar w:fldCharType="separate"/>
      </w:r>
      <w:r>
        <w:rPr>
          <w:rStyle w:val="28"/>
          <w:rFonts w:hint="eastAsia"/>
        </w:rPr>
        <w:t>第二节</w:t>
      </w:r>
      <w:r>
        <w:rPr>
          <w:rStyle w:val="28"/>
        </w:rPr>
        <w:t xml:space="preserve">  </w:t>
      </w:r>
      <w:r>
        <w:rPr>
          <w:rStyle w:val="28"/>
          <w:rFonts w:hint="eastAsia"/>
        </w:rPr>
        <w:t>建设用地布局调整</w:t>
      </w:r>
      <w:r>
        <w:tab/>
      </w:r>
      <w:r>
        <w:fldChar w:fldCharType="begin"/>
      </w:r>
      <w:r>
        <w:instrText xml:space="preserve"> PAGEREF _Toc485040264 \h </w:instrText>
      </w:r>
      <w:r>
        <w:fldChar w:fldCharType="separate"/>
      </w:r>
      <w:r>
        <w:t>19</w:t>
      </w:r>
      <w:r>
        <w:fldChar w:fldCharType="end"/>
      </w:r>
      <w:r>
        <w:fldChar w:fldCharType="end"/>
      </w:r>
    </w:p>
    <w:p>
      <w:pPr>
        <w:pStyle w:val="15"/>
        <w:ind w:firstLine="562"/>
        <w:rPr>
          <w:rFonts w:eastAsiaTheme="minorEastAsia"/>
          <w:b w:val="0"/>
          <w:bCs w:val="0"/>
          <w:caps w:val="0"/>
          <w:kern w:val="2"/>
          <w:sz w:val="21"/>
          <w:szCs w:val="22"/>
        </w:rPr>
      </w:pPr>
      <w:r>
        <w:fldChar w:fldCharType="begin"/>
      </w:r>
      <w:r>
        <w:instrText xml:space="preserve"> HYPERLINK \l "_Toc485040265" </w:instrText>
      </w:r>
      <w:r>
        <w:fldChar w:fldCharType="separate"/>
      </w:r>
      <w:r>
        <w:rPr>
          <w:rStyle w:val="28"/>
          <w:rFonts w:hint="eastAsia"/>
        </w:rPr>
        <w:t>第六章</w:t>
      </w:r>
      <w:r>
        <w:rPr>
          <w:rStyle w:val="28"/>
        </w:rPr>
        <w:t xml:space="preserve">  </w:t>
      </w:r>
      <w:r>
        <w:rPr>
          <w:rStyle w:val="28"/>
          <w:rFonts w:hint="eastAsia"/>
        </w:rPr>
        <w:t>与相关工作的协调衔接</w:t>
      </w:r>
      <w:r>
        <w:tab/>
      </w:r>
      <w:r>
        <w:fldChar w:fldCharType="begin"/>
      </w:r>
      <w:r>
        <w:instrText xml:space="preserve"> PAGEREF _Toc485040265 \h </w:instrText>
      </w:r>
      <w:r>
        <w:fldChar w:fldCharType="separate"/>
      </w:r>
      <w:r>
        <w:t>22</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"_Toc485040266" </w:instrText>
      </w:r>
      <w:r>
        <w:fldChar w:fldCharType="separate"/>
      </w:r>
      <w:r>
        <w:rPr>
          <w:rStyle w:val="28"/>
          <w:rFonts w:hint="eastAsia"/>
          <w:kern w:val="0"/>
        </w:rPr>
        <w:t>第一节</w:t>
      </w:r>
      <w:r>
        <w:rPr>
          <w:rStyle w:val="28"/>
          <w:kern w:val="0"/>
        </w:rPr>
        <w:t xml:space="preserve">  </w:t>
      </w:r>
      <w:r>
        <w:rPr>
          <w:rStyle w:val="28"/>
          <w:rFonts w:hint="eastAsia"/>
          <w:kern w:val="0"/>
        </w:rPr>
        <w:t>与行政区划调整的衔接</w:t>
      </w:r>
      <w:r>
        <w:tab/>
      </w:r>
      <w:r>
        <w:fldChar w:fldCharType="begin"/>
      </w:r>
      <w:r>
        <w:instrText xml:space="preserve"> PAGEREF _Toc485040266 \h </w:instrText>
      </w:r>
      <w:r>
        <w:fldChar w:fldCharType="separate"/>
      </w:r>
      <w:r>
        <w:t>22</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"_Toc485040267" </w:instrText>
      </w:r>
      <w:r>
        <w:fldChar w:fldCharType="separate"/>
      </w:r>
      <w:r>
        <w:rPr>
          <w:rStyle w:val="28"/>
          <w:rFonts w:hint="eastAsia"/>
        </w:rPr>
        <w:t>第二节</w:t>
      </w:r>
      <w:r>
        <w:rPr>
          <w:rStyle w:val="28"/>
        </w:rPr>
        <w:t xml:space="preserve">  </w:t>
      </w:r>
      <w:r>
        <w:rPr>
          <w:rStyle w:val="28"/>
          <w:rFonts w:hint="eastAsia"/>
        </w:rPr>
        <w:t>与永久基本农田划定的衔接</w:t>
      </w:r>
      <w:r>
        <w:tab/>
      </w:r>
      <w:r>
        <w:fldChar w:fldCharType="begin"/>
      </w:r>
      <w:r>
        <w:instrText xml:space="preserve"> PAGEREF _Toc485040267 \h </w:instrText>
      </w:r>
      <w:r>
        <w:fldChar w:fldCharType="separate"/>
      </w:r>
      <w:r>
        <w:t>22</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"_Toc485040268" </w:instrText>
      </w:r>
      <w:r>
        <w:fldChar w:fldCharType="separate"/>
      </w:r>
      <w:r>
        <w:rPr>
          <w:rStyle w:val="28"/>
          <w:rFonts w:hint="eastAsia"/>
        </w:rPr>
        <w:t>第三节</w:t>
      </w:r>
      <w:r>
        <w:rPr>
          <w:rStyle w:val="28"/>
        </w:rPr>
        <w:t xml:space="preserve">  </w:t>
      </w:r>
      <w:r>
        <w:rPr>
          <w:rStyle w:val="28"/>
          <w:rFonts w:hint="eastAsia"/>
        </w:rPr>
        <w:t>与</w:t>
      </w:r>
      <w:r>
        <w:rPr>
          <w:rStyle w:val="28"/>
        </w:rPr>
        <w:t>“</w:t>
      </w:r>
      <w:r>
        <w:rPr>
          <w:rStyle w:val="28"/>
          <w:rFonts w:hint="eastAsia"/>
        </w:rPr>
        <w:t>十三五</w:t>
      </w:r>
      <w:r>
        <w:rPr>
          <w:rStyle w:val="28"/>
        </w:rPr>
        <w:t>”</w:t>
      </w:r>
      <w:r>
        <w:rPr>
          <w:rStyle w:val="28"/>
          <w:rFonts w:hint="eastAsia"/>
        </w:rPr>
        <w:t>规划的协调</w:t>
      </w:r>
      <w:r>
        <w:tab/>
      </w:r>
      <w:r>
        <w:fldChar w:fldCharType="begin"/>
      </w:r>
      <w:r>
        <w:instrText xml:space="preserve"> PAGEREF _Toc485040268 \h </w:instrText>
      </w:r>
      <w:r>
        <w:fldChar w:fldCharType="separate"/>
      </w:r>
      <w:r>
        <w:t>23</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"_Toc485040269" </w:instrText>
      </w:r>
      <w:r>
        <w:fldChar w:fldCharType="separate"/>
      </w:r>
      <w:r>
        <w:rPr>
          <w:rStyle w:val="28"/>
          <w:rFonts w:hint="eastAsia"/>
        </w:rPr>
        <w:t>第四节</w:t>
      </w:r>
      <w:r>
        <w:rPr>
          <w:rStyle w:val="28"/>
        </w:rPr>
        <w:t xml:space="preserve">  </w:t>
      </w:r>
      <w:r>
        <w:rPr>
          <w:rStyle w:val="28"/>
          <w:rFonts w:hint="eastAsia"/>
        </w:rPr>
        <w:t>与耒阳市土地利用总体规划的衔接</w:t>
      </w:r>
      <w:r>
        <w:tab/>
      </w:r>
      <w:r>
        <w:fldChar w:fldCharType="begin"/>
      </w:r>
      <w:r>
        <w:instrText xml:space="preserve"> PAGEREF _Toc485040269 \h </w:instrText>
      </w:r>
      <w:r>
        <w:fldChar w:fldCharType="separate"/>
      </w:r>
      <w:r>
        <w:t>23</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"_Toc485040270" </w:instrText>
      </w:r>
      <w:r>
        <w:fldChar w:fldCharType="separate"/>
      </w:r>
      <w:r>
        <w:rPr>
          <w:rStyle w:val="28"/>
          <w:rFonts w:hint="eastAsia"/>
        </w:rPr>
        <w:t>第五节</w:t>
      </w:r>
      <w:r>
        <w:rPr>
          <w:rStyle w:val="28"/>
        </w:rPr>
        <w:t xml:space="preserve">  </w:t>
      </w:r>
      <w:r>
        <w:rPr>
          <w:rStyle w:val="28"/>
          <w:rFonts w:hint="eastAsia"/>
        </w:rPr>
        <w:t>与矿产资源规划的协调</w:t>
      </w:r>
      <w:r>
        <w:tab/>
      </w:r>
      <w:r>
        <w:fldChar w:fldCharType="begin"/>
      </w:r>
      <w:r>
        <w:instrText xml:space="preserve"> PAGEREF _Toc485040270 \h </w:instrText>
      </w:r>
      <w:r>
        <w:fldChar w:fldCharType="separate"/>
      </w:r>
      <w:r>
        <w:t>23</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"_Toc485040271" </w:instrText>
      </w:r>
      <w:r>
        <w:fldChar w:fldCharType="separate"/>
      </w:r>
      <w:r>
        <w:rPr>
          <w:rStyle w:val="28"/>
          <w:rFonts w:hint="eastAsia"/>
        </w:rPr>
        <w:t>第六节</w:t>
      </w:r>
      <w:r>
        <w:rPr>
          <w:rStyle w:val="28"/>
        </w:rPr>
        <w:t xml:space="preserve">  </w:t>
      </w:r>
      <w:r>
        <w:rPr>
          <w:rStyle w:val="28"/>
          <w:rFonts w:hint="eastAsia"/>
        </w:rPr>
        <w:t>与土地整治规划的协调</w:t>
      </w:r>
      <w:r>
        <w:tab/>
      </w:r>
      <w:r>
        <w:fldChar w:fldCharType="begin"/>
      </w:r>
      <w:r>
        <w:instrText xml:space="preserve"> PAGEREF _Toc485040271 \h </w:instrText>
      </w:r>
      <w:r>
        <w:fldChar w:fldCharType="separate"/>
      </w:r>
      <w:r>
        <w:t>23</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"_Toc485040272" </w:instrText>
      </w:r>
      <w:r>
        <w:fldChar w:fldCharType="separate"/>
      </w:r>
      <w:r>
        <w:rPr>
          <w:rStyle w:val="28"/>
          <w:rFonts w:hint="eastAsia"/>
        </w:rPr>
        <w:t>第七节</w:t>
      </w:r>
      <w:r>
        <w:rPr>
          <w:rStyle w:val="28"/>
        </w:rPr>
        <w:t xml:space="preserve">  </w:t>
      </w:r>
      <w:r>
        <w:rPr>
          <w:rStyle w:val="28"/>
          <w:rFonts w:hint="eastAsia"/>
        </w:rPr>
        <w:t>与工程地质及压覆矿产的衔接</w:t>
      </w:r>
      <w:r>
        <w:tab/>
      </w:r>
      <w:r>
        <w:fldChar w:fldCharType="begin"/>
      </w:r>
      <w:r>
        <w:instrText xml:space="preserve"> PAGEREF _Toc485040272 \h </w:instrText>
      </w:r>
      <w:r>
        <w:fldChar w:fldCharType="separate"/>
      </w:r>
      <w:r>
        <w:t>23</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"_Toc485040273" </w:instrText>
      </w:r>
      <w:r>
        <w:fldChar w:fldCharType="separate"/>
      </w:r>
      <w:r>
        <w:rPr>
          <w:rStyle w:val="28"/>
          <w:rFonts w:hint="eastAsia"/>
        </w:rPr>
        <w:t>第八节</w:t>
      </w:r>
      <w:r>
        <w:rPr>
          <w:rStyle w:val="28"/>
        </w:rPr>
        <w:t xml:space="preserve">  </w:t>
      </w:r>
      <w:r>
        <w:rPr>
          <w:rStyle w:val="28"/>
          <w:rFonts w:hint="eastAsia"/>
        </w:rPr>
        <w:t>与其他规划的协调</w:t>
      </w:r>
      <w:r>
        <w:tab/>
      </w:r>
      <w:r>
        <w:fldChar w:fldCharType="begin"/>
      </w:r>
      <w:r>
        <w:instrText xml:space="preserve"> PAGEREF _Toc485040273 \h </w:instrText>
      </w:r>
      <w:r>
        <w:fldChar w:fldCharType="separate"/>
      </w:r>
      <w:r>
        <w:t>24</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"_Toc485040274" </w:instrText>
      </w:r>
      <w:r>
        <w:fldChar w:fldCharType="separate"/>
      </w:r>
      <w:r>
        <w:rPr>
          <w:rStyle w:val="28"/>
          <w:rFonts w:hint="eastAsia"/>
        </w:rPr>
        <w:t>第九节</w:t>
      </w:r>
      <w:r>
        <w:rPr>
          <w:rStyle w:val="28"/>
        </w:rPr>
        <w:t xml:space="preserve">  </w:t>
      </w:r>
      <w:r>
        <w:rPr>
          <w:rStyle w:val="28"/>
          <w:rFonts w:hint="eastAsia"/>
        </w:rPr>
        <w:t>与易地扶贫搬迁项目的衔接</w:t>
      </w:r>
      <w:r>
        <w:tab/>
      </w:r>
      <w:r>
        <w:fldChar w:fldCharType="begin"/>
      </w:r>
      <w:r>
        <w:instrText xml:space="preserve"> PAGEREF _Toc485040274 \h </w:instrText>
      </w:r>
      <w:r>
        <w:fldChar w:fldCharType="separate"/>
      </w:r>
      <w:r>
        <w:t>24</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"_Toc485040275" </w:instrText>
      </w:r>
      <w:r>
        <w:fldChar w:fldCharType="separate"/>
      </w:r>
      <w:r>
        <w:rPr>
          <w:rStyle w:val="28"/>
          <w:rFonts w:hint="eastAsia"/>
        </w:rPr>
        <w:t>第十节</w:t>
      </w:r>
      <w:r>
        <w:rPr>
          <w:rStyle w:val="28"/>
        </w:rPr>
        <w:t xml:space="preserve">  </w:t>
      </w:r>
      <w:r>
        <w:rPr>
          <w:rStyle w:val="28"/>
          <w:rFonts w:hint="eastAsia"/>
        </w:rPr>
        <w:t>与生态红线工作的衔接</w:t>
      </w:r>
      <w:r>
        <w:tab/>
      </w:r>
      <w:r>
        <w:fldChar w:fldCharType="begin"/>
      </w:r>
      <w:r>
        <w:instrText xml:space="preserve"> PAGEREF _Toc485040275 \h </w:instrText>
      </w:r>
      <w:r>
        <w:fldChar w:fldCharType="separate"/>
      </w:r>
      <w:r>
        <w:t>24</w:t>
      </w:r>
      <w:r>
        <w:fldChar w:fldCharType="end"/>
      </w:r>
      <w:r>
        <w:fldChar w:fldCharType="end"/>
      </w:r>
    </w:p>
    <w:p>
      <w:pPr>
        <w:pStyle w:val="19"/>
        <w:tabs>
          <w:tab w:val="right" w:leader="dot" w:pos="10244"/>
        </w:tabs>
        <w:ind w:firstLine="560"/>
        <w:rPr>
          <w:rFonts w:eastAsiaTheme="minorEastAsia"/>
          <w:smallCaps w:val="0"/>
          <w:sz w:val="21"/>
          <w:szCs w:val="22"/>
        </w:rPr>
      </w:pPr>
      <w:r>
        <w:fldChar w:fldCharType="begin"/>
      </w:r>
      <w:r>
        <w:instrText xml:space="preserve"> HYPERLINK \l "_Toc485040276" </w:instrText>
      </w:r>
      <w:r>
        <w:fldChar w:fldCharType="separate"/>
      </w:r>
      <w:r>
        <w:rPr>
          <w:rStyle w:val="28"/>
          <w:rFonts w:hint="eastAsia"/>
        </w:rPr>
        <w:t>第十一节</w:t>
      </w:r>
      <w:r>
        <w:rPr>
          <w:rStyle w:val="28"/>
        </w:rPr>
        <w:t xml:space="preserve">  </w:t>
      </w:r>
      <w:r>
        <w:rPr>
          <w:rStyle w:val="28"/>
          <w:rFonts w:hint="eastAsia"/>
        </w:rPr>
        <w:t>与公众参与情况的协调</w:t>
      </w:r>
      <w:r>
        <w:tab/>
      </w:r>
      <w:r>
        <w:fldChar w:fldCharType="begin"/>
      </w:r>
      <w:r>
        <w:instrText xml:space="preserve"> PAGEREF _Toc485040276 \h </w:instrText>
      </w:r>
      <w:r>
        <w:fldChar w:fldCharType="separate"/>
      </w:r>
      <w:r>
        <w:t>24</w:t>
      </w:r>
      <w:r>
        <w:fldChar w:fldCharType="end"/>
      </w:r>
      <w:r>
        <w:fldChar w:fldCharType="end"/>
      </w:r>
    </w:p>
    <w:p>
      <w:pPr>
        <w:pStyle w:val="15"/>
        <w:ind w:firstLine="562"/>
        <w:rPr>
          <w:rFonts w:eastAsiaTheme="minorEastAsia"/>
          <w:b w:val="0"/>
          <w:bCs w:val="0"/>
          <w:caps w:val="0"/>
          <w:kern w:val="2"/>
          <w:sz w:val="21"/>
          <w:szCs w:val="22"/>
        </w:rPr>
      </w:pPr>
      <w:r>
        <w:fldChar w:fldCharType="begin"/>
      </w:r>
      <w:r>
        <w:instrText xml:space="preserve"> HYPERLINK \l "_Toc485040277" </w:instrText>
      </w:r>
      <w:r>
        <w:fldChar w:fldCharType="separate"/>
      </w:r>
      <w:r>
        <w:rPr>
          <w:rStyle w:val="28"/>
          <w:rFonts w:hint="eastAsia"/>
        </w:rPr>
        <w:t>附表</w:t>
      </w:r>
      <w:r>
        <w:tab/>
      </w:r>
      <w:r>
        <w:fldChar w:fldCharType="begin"/>
      </w:r>
      <w:r>
        <w:instrText xml:space="preserve"> PAGEREF _Toc485040277 \h </w:instrText>
      </w:r>
      <w:r>
        <w:fldChar w:fldCharType="separate"/>
      </w:r>
      <w:r>
        <w:t>25</w:t>
      </w:r>
      <w:r>
        <w:fldChar w:fldCharType="end"/>
      </w:r>
      <w:r>
        <w:fldChar w:fldCharType="end"/>
      </w:r>
    </w:p>
    <w:p>
      <w:pPr>
        <w:pStyle w:val="15"/>
        <w:ind w:firstLine="562"/>
        <w:rPr>
          <w:rFonts w:eastAsiaTheme="minorEastAsia"/>
          <w:b w:val="0"/>
          <w:bCs w:val="0"/>
          <w:caps w:val="0"/>
          <w:kern w:val="2"/>
          <w:sz w:val="21"/>
          <w:szCs w:val="22"/>
        </w:rPr>
      </w:pPr>
      <w:r>
        <w:fldChar w:fldCharType="begin"/>
      </w:r>
      <w:r>
        <w:instrText xml:space="preserve"> HYPERLINK \l "_Toc485040278" </w:instrText>
      </w:r>
      <w:r>
        <w:fldChar w:fldCharType="separate"/>
      </w:r>
      <w:r>
        <w:rPr>
          <w:rStyle w:val="28"/>
          <w:rFonts w:hint="eastAsia"/>
          <w:b w:val="0"/>
        </w:rPr>
        <w:t>附表</w:t>
      </w:r>
      <w:r>
        <w:rPr>
          <w:rStyle w:val="28"/>
          <w:b w:val="0"/>
        </w:rPr>
        <w:t xml:space="preserve">1  </w:t>
      </w:r>
      <w:r>
        <w:rPr>
          <w:rStyle w:val="28"/>
          <w:rFonts w:hint="eastAsia"/>
          <w:b w:val="0"/>
        </w:rPr>
        <w:t>耒阳市建制村合并前后对照名册</w:t>
      </w:r>
      <w:r>
        <w:rPr>
          <w:b w:val="0"/>
        </w:rPr>
        <w:tab/>
      </w:r>
      <w:r>
        <w:rPr>
          <w:b w:val="0"/>
        </w:rPr>
        <w:fldChar w:fldCharType="begin"/>
      </w:r>
      <w:r>
        <w:rPr>
          <w:b w:val="0"/>
        </w:rPr>
        <w:instrText xml:space="preserve"> PAGEREF _Toc485040278 \h </w:instrText>
      </w:r>
      <w:r>
        <w:rPr>
          <w:b w:val="0"/>
        </w:rPr>
        <w:fldChar w:fldCharType="separate"/>
      </w:r>
      <w:r>
        <w:rPr>
          <w:b w:val="0"/>
        </w:rPr>
        <w:t>25</w:t>
      </w:r>
      <w:r>
        <w:rPr>
          <w:b w:val="0"/>
        </w:rPr>
        <w:fldChar w:fldCharType="end"/>
      </w:r>
      <w:r>
        <w:rPr>
          <w:b w:val="0"/>
        </w:rPr>
        <w:fldChar w:fldCharType="end"/>
      </w:r>
    </w:p>
    <w:p>
      <w:pPr>
        <w:pStyle w:val="15"/>
        <w:ind w:firstLine="562"/>
        <w:rPr>
          <w:rFonts w:eastAsiaTheme="minorEastAsia"/>
          <w:b w:val="0"/>
          <w:bCs w:val="0"/>
          <w:caps w:val="0"/>
          <w:kern w:val="2"/>
          <w:sz w:val="21"/>
          <w:szCs w:val="22"/>
        </w:rPr>
      </w:pPr>
      <w:r>
        <w:fldChar w:fldCharType="begin"/>
      </w:r>
      <w:r>
        <w:instrText xml:space="preserve"> HYPERLINK \l "_Toc485040279" </w:instrText>
      </w:r>
      <w:r>
        <w:fldChar w:fldCharType="separate"/>
      </w:r>
      <w:r>
        <w:rPr>
          <w:rStyle w:val="28"/>
          <w:rFonts w:hint="eastAsia"/>
          <w:b w:val="0"/>
        </w:rPr>
        <w:t>附表</w:t>
      </w:r>
      <w:r>
        <w:rPr>
          <w:rStyle w:val="28"/>
          <w:b w:val="0"/>
        </w:rPr>
        <w:t xml:space="preserve">2  </w:t>
      </w:r>
      <w:r>
        <w:rPr>
          <w:rStyle w:val="28"/>
          <w:rFonts w:hint="eastAsia"/>
          <w:b w:val="0"/>
        </w:rPr>
        <w:t>耒阳市乡（镇）主要规划控制指标</w:t>
      </w:r>
      <w:r>
        <w:rPr>
          <w:b w:val="0"/>
        </w:rPr>
        <w:tab/>
      </w:r>
      <w:r>
        <w:rPr>
          <w:b w:val="0"/>
        </w:rPr>
        <w:fldChar w:fldCharType="begin"/>
      </w:r>
      <w:r>
        <w:rPr>
          <w:b w:val="0"/>
        </w:rPr>
        <w:instrText xml:space="preserve"> PAGEREF _Toc485040279 \h </w:instrText>
      </w:r>
      <w:r>
        <w:rPr>
          <w:b w:val="0"/>
        </w:rPr>
        <w:fldChar w:fldCharType="separate"/>
      </w:r>
      <w:r>
        <w:rPr>
          <w:b w:val="0"/>
        </w:rPr>
        <w:t>37</w:t>
      </w:r>
      <w:r>
        <w:rPr>
          <w:b w:val="0"/>
        </w:rPr>
        <w:fldChar w:fldCharType="end"/>
      </w:r>
      <w:r>
        <w:rPr>
          <w:b w:val="0"/>
        </w:rPr>
        <w:fldChar w:fldCharType="end"/>
      </w:r>
    </w:p>
    <w:p>
      <w:pPr>
        <w:pStyle w:val="15"/>
        <w:ind w:firstLine="562"/>
        <w:rPr>
          <w:rFonts w:eastAsiaTheme="minorEastAsia"/>
          <w:b w:val="0"/>
          <w:bCs w:val="0"/>
          <w:caps w:val="0"/>
          <w:kern w:val="2"/>
          <w:sz w:val="21"/>
          <w:szCs w:val="22"/>
        </w:rPr>
      </w:pPr>
      <w:r>
        <w:fldChar w:fldCharType="begin"/>
      </w:r>
      <w:r>
        <w:instrText xml:space="preserve"> HYPERLINK \l "_Toc485040280" </w:instrText>
      </w:r>
      <w:r>
        <w:fldChar w:fldCharType="separate"/>
      </w:r>
      <w:r>
        <w:rPr>
          <w:rStyle w:val="28"/>
          <w:rFonts w:hint="eastAsia"/>
          <w:b w:val="0"/>
        </w:rPr>
        <w:t>附表</w:t>
      </w:r>
      <w:r>
        <w:rPr>
          <w:rStyle w:val="28"/>
          <w:b w:val="0"/>
        </w:rPr>
        <w:t xml:space="preserve">3  </w:t>
      </w:r>
      <w:r>
        <w:rPr>
          <w:rStyle w:val="28"/>
          <w:rFonts w:hint="eastAsia"/>
          <w:b w:val="0"/>
        </w:rPr>
        <w:t>耒阳市乡级规划调整完善成果指标汇总表</w:t>
      </w:r>
      <w:r>
        <w:rPr>
          <w:b w:val="0"/>
        </w:rPr>
        <w:tab/>
      </w:r>
      <w:r>
        <w:rPr>
          <w:b w:val="0"/>
        </w:rPr>
        <w:fldChar w:fldCharType="begin"/>
      </w:r>
      <w:r>
        <w:rPr>
          <w:b w:val="0"/>
        </w:rPr>
        <w:instrText xml:space="preserve"> PAGEREF _Toc485040280 \h </w:instrText>
      </w:r>
      <w:r>
        <w:rPr>
          <w:b w:val="0"/>
        </w:rPr>
        <w:fldChar w:fldCharType="separate"/>
      </w:r>
      <w:r>
        <w:rPr>
          <w:b w:val="0"/>
        </w:rPr>
        <w:t>38</w:t>
      </w:r>
      <w:r>
        <w:rPr>
          <w:b w:val="0"/>
        </w:rPr>
        <w:fldChar w:fldCharType="end"/>
      </w:r>
      <w:r>
        <w:rPr>
          <w:b w:val="0"/>
        </w:rPr>
        <w:fldChar w:fldCharType="end"/>
      </w:r>
    </w:p>
    <w:p>
      <w:pPr>
        <w:pStyle w:val="15"/>
        <w:ind w:firstLine="0" w:firstLineChars="0"/>
        <w:rPr>
          <w:b w:val="0"/>
        </w:rPr>
      </w:pPr>
      <w:r>
        <w:rPr>
          <w:szCs w:val="20"/>
        </w:rPr>
        <w:fldChar w:fldCharType="end"/>
      </w:r>
    </w:p>
    <w:p>
      <w:pPr>
        <w:widowControl/>
        <w:spacing w:line="240" w:lineRule="auto"/>
        <w:ind w:firstLine="0" w:firstLineChars="0"/>
        <w:jc w:val="left"/>
        <w:rPr>
          <w:kern w:val="0"/>
        </w:rPr>
      </w:pPr>
    </w:p>
    <w:p>
      <w:pPr>
        <w:widowControl/>
        <w:spacing w:line="240" w:lineRule="auto"/>
        <w:ind w:firstLine="0" w:firstLineChars="0"/>
        <w:jc w:val="left"/>
        <w:rPr>
          <w:kern w:val="0"/>
        </w:rPr>
        <w:sectPr>
          <w:type w:val="continuous"/>
          <w:pgSz w:w="23814" w:h="16839" w:orient="landscape"/>
          <w:pgMar w:top="1800" w:right="1440" w:bottom="1800" w:left="1440" w:header="851" w:footer="992" w:gutter="0"/>
          <w:pgNumType w:start="1"/>
          <w:cols w:space="425" w:num="2"/>
          <w:docGrid w:type="lines" w:linePitch="381" w:charSpace="0"/>
        </w:sectPr>
      </w:pPr>
    </w:p>
    <w:p>
      <w:pPr>
        <w:pStyle w:val="2"/>
      </w:pPr>
      <w:bookmarkStart w:id="0" w:name="_Toc485040244"/>
      <w:bookmarkStart w:id="1" w:name="_Toc479943927"/>
      <w:bookmarkStart w:id="2" w:name="_Toc478550640"/>
      <w:r>
        <w:rPr>
          <w:rFonts w:hint="eastAsia"/>
        </w:rPr>
        <w:t>前  言</w:t>
      </w:r>
      <w:bookmarkEnd w:id="0"/>
      <w:bookmarkEnd w:id="1"/>
    </w:p>
    <w:p>
      <w:pPr>
        <w:ind w:firstLine="560"/>
        <w:rPr>
          <w:szCs w:val="28"/>
        </w:rPr>
      </w:pPr>
      <w:r>
        <w:t>《</w:t>
      </w:r>
      <w:r>
        <w:rPr>
          <w:rFonts w:hint="eastAsia"/>
        </w:rPr>
        <w:t>耒阳市新市镇等24个乡级土地利用总体规划（</w:t>
      </w:r>
      <w:r>
        <w:t>2006-2020</w:t>
      </w:r>
      <w:r>
        <w:rPr>
          <w:rFonts w:hint="eastAsia"/>
        </w:rPr>
        <w:t>年）</w:t>
      </w:r>
      <w:r>
        <w:t>》</w:t>
      </w:r>
      <w:r>
        <w:rPr>
          <w:rFonts w:cs="Times New Roman"/>
          <w:szCs w:val="28"/>
        </w:rPr>
        <w:t>（以下简称“现行规划”）作为</w:t>
      </w:r>
      <w:r>
        <w:rPr>
          <w:rFonts w:hint="eastAsia" w:cs="Times New Roman"/>
          <w:szCs w:val="28"/>
        </w:rPr>
        <w:t>各乡（镇）</w:t>
      </w:r>
      <w:r>
        <w:rPr>
          <w:rFonts w:cs="Times New Roman"/>
          <w:szCs w:val="28"/>
        </w:rPr>
        <w:t>土地利用、开发、整治和保护的纲领性文件，自</w:t>
      </w:r>
      <w:r>
        <w:rPr>
          <w:rFonts w:hint="eastAsia" w:cs="Times New Roman"/>
          <w:szCs w:val="28"/>
        </w:rPr>
        <w:t>衡阳市</w:t>
      </w:r>
      <w:r>
        <w:rPr>
          <w:rFonts w:cs="Times New Roman"/>
          <w:szCs w:val="28"/>
        </w:rPr>
        <w:t>人民政府批准实施以来，对</w:t>
      </w:r>
      <w:r>
        <w:rPr>
          <w:rFonts w:hint="eastAsia" w:cs="Times New Roman"/>
          <w:szCs w:val="28"/>
        </w:rPr>
        <w:t>各乡（镇）</w:t>
      </w:r>
      <w:r>
        <w:rPr>
          <w:rFonts w:cs="Times New Roman"/>
          <w:szCs w:val="28"/>
        </w:rPr>
        <w:t>土地的综合利用与保护发挥着统领作用，对加强调控城乡土地利用起着基础性作用。通过现行规划的实施</w:t>
      </w:r>
      <w:r>
        <w:rPr>
          <w:rFonts w:hint="eastAsia" w:cs="Times New Roman"/>
          <w:szCs w:val="28"/>
        </w:rPr>
        <w:t>，</w:t>
      </w:r>
      <w:r>
        <w:rPr>
          <w:rFonts w:cs="Times New Roman"/>
          <w:szCs w:val="28"/>
        </w:rPr>
        <w:t>有力的促进了最严格的耕地保护制度和节约集约用地制度的贯彻落实</w:t>
      </w:r>
      <w:r>
        <w:rPr>
          <w:rFonts w:hint="eastAsia" w:cs="Times New Roman"/>
          <w:szCs w:val="28"/>
        </w:rPr>
        <w:t>，</w:t>
      </w:r>
      <w:r>
        <w:rPr>
          <w:rFonts w:cs="Times New Roman"/>
          <w:szCs w:val="28"/>
        </w:rPr>
        <w:t>有力的保障了全</w:t>
      </w:r>
      <w:r>
        <w:rPr>
          <w:rFonts w:hint="eastAsia" w:cs="Times New Roman"/>
          <w:szCs w:val="28"/>
        </w:rPr>
        <w:t>市</w:t>
      </w:r>
      <w:r>
        <w:rPr>
          <w:rFonts w:cs="Times New Roman"/>
          <w:szCs w:val="28"/>
        </w:rPr>
        <w:t>社会经济发展对土地资源的合理需求</w:t>
      </w:r>
      <w:r>
        <w:rPr>
          <w:rFonts w:hint="eastAsia" w:cs="Times New Roman"/>
          <w:szCs w:val="28"/>
        </w:rPr>
        <w:t>。</w:t>
      </w:r>
    </w:p>
    <w:p>
      <w:pPr>
        <w:ind w:firstLine="560"/>
        <w:rPr>
          <w:rFonts w:cs="Times New Roman"/>
          <w:szCs w:val="28"/>
        </w:rPr>
      </w:pPr>
      <w:r>
        <w:rPr>
          <w:rFonts w:cs="Times New Roman"/>
          <w:szCs w:val="28"/>
        </w:rPr>
        <w:t>十八大以来，党中央、国务院对耕地保护、生态文明建设、新型城镇化、国土资源管理工作等提出了一系列的新要求。为确保现行规划更好的适应宏观经济形势变化</w:t>
      </w:r>
      <w:r>
        <w:rPr>
          <w:rFonts w:hint="eastAsia" w:cs="Times New Roman"/>
          <w:szCs w:val="28"/>
        </w:rPr>
        <w:t>，</w:t>
      </w:r>
      <w:r>
        <w:rPr>
          <w:rFonts w:cs="Times New Roman"/>
          <w:szCs w:val="28"/>
        </w:rPr>
        <w:t>充分发挥规划的统筹管控作用</w:t>
      </w:r>
      <w:r>
        <w:rPr>
          <w:rFonts w:hint="eastAsia" w:cs="Times New Roman"/>
          <w:szCs w:val="28"/>
        </w:rPr>
        <w:t>，</w:t>
      </w:r>
      <w:r>
        <w:rPr>
          <w:rFonts w:cs="Times New Roman"/>
          <w:szCs w:val="28"/>
        </w:rPr>
        <w:t>根据国土资源部办公厅《关于印发&lt;土地利用总体规划调整完善工作方案&gt;的通知》（国土资厅函[2014]1237号）、湖南省国土资源厅《关于印发&lt;湖南省土地利用总体规划调整完善工作方案&gt;的通知》（湘国土资发[2014]47号）</w:t>
      </w:r>
      <w:r>
        <w:rPr>
          <w:rFonts w:hint="eastAsia" w:cs="Times New Roman"/>
          <w:szCs w:val="28"/>
        </w:rPr>
        <w:t>、</w:t>
      </w:r>
      <w:r>
        <w:rPr>
          <w:rFonts w:cs="Times New Roman"/>
          <w:szCs w:val="28"/>
        </w:rPr>
        <w:t>《湖南省国土资源厅湖南省农业委员会&lt;转发国土资源部农业部关于进一步做好永久基本农田划定工作&gt;的通知》（湘国土资发[2014]46号）及相关文件</w:t>
      </w:r>
      <w:r>
        <w:rPr>
          <w:rFonts w:hint="eastAsia" w:cs="Times New Roman"/>
          <w:szCs w:val="28"/>
        </w:rPr>
        <w:t>精神，2015年8月，</w:t>
      </w:r>
      <w:r>
        <w:rPr>
          <w:rFonts w:cs="Times New Roman"/>
          <w:szCs w:val="28"/>
        </w:rPr>
        <w:t>耒阳市人民政府开展了现行规划调整完善工作</w:t>
      </w:r>
      <w:r>
        <w:rPr>
          <w:rFonts w:hint="eastAsia" w:cs="Times New Roman"/>
          <w:szCs w:val="28"/>
        </w:rPr>
        <w:t>。</w:t>
      </w:r>
    </w:p>
    <w:p>
      <w:pPr>
        <w:ind w:firstLine="560"/>
        <w:rPr>
          <w:rFonts w:cs="Times New Roman"/>
          <w:szCs w:val="28"/>
        </w:rPr>
      </w:pPr>
      <w:r>
        <w:rPr>
          <w:rFonts w:cs="Times New Roman"/>
          <w:szCs w:val="28"/>
        </w:rPr>
        <w:t>2016年</w:t>
      </w:r>
      <w:r>
        <w:rPr>
          <w:rFonts w:hint="eastAsia" w:cs="Times New Roman"/>
          <w:szCs w:val="28"/>
        </w:rPr>
        <w:t>7</w:t>
      </w:r>
      <w:r>
        <w:rPr>
          <w:rFonts w:cs="Times New Roman"/>
          <w:szCs w:val="28"/>
        </w:rPr>
        <w:t>月1</w:t>
      </w:r>
      <w:r>
        <w:rPr>
          <w:rFonts w:hint="eastAsia" w:cs="Times New Roman"/>
          <w:szCs w:val="28"/>
        </w:rPr>
        <w:t>5</w:t>
      </w:r>
      <w:r>
        <w:rPr>
          <w:rFonts w:cs="Times New Roman"/>
          <w:szCs w:val="28"/>
        </w:rPr>
        <w:t>日，湖南省国土资源厅（厅长办公会议）暨2016年第</w:t>
      </w:r>
      <w:r>
        <w:rPr>
          <w:rFonts w:hint="eastAsia" w:cs="Times New Roman"/>
          <w:szCs w:val="28"/>
        </w:rPr>
        <w:t>四</w:t>
      </w:r>
      <w:r>
        <w:rPr>
          <w:rFonts w:cs="Times New Roman"/>
          <w:szCs w:val="28"/>
        </w:rPr>
        <w:t>次土地利用总体规划评审委员会会议（以下简称“规委会”）对《</w:t>
      </w:r>
      <w:r>
        <w:rPr>
          <w:rFonts w:hint="eastAsia" w:cs="Times New Roman"/>
          <w:szCs w:val="28"/>
        </w:rPr>
        <w:t>耒阳市</w:t>
      </w:r>
      <w:r>
        <w:rPr>
          <w:rFonts w:cs="Times New Roman"/>
          <w:szCs w:val="28"/>
        </w:rPr>
        <w:t>土地利用总体规划（2006-2020年）实施评估报告》（以下简称《评估报告》）进行了审议</w:t>
      </w:r>
      <w:r>
        <w:rPr>
          <w:rFonts w:hint="eastAsia" w:cs="Times New Roman"/>
          <w:szCs w:val="28"/>
        </w:rPr>
        <w:t>，同意耒阳市启动土地利用总体规划调整完善工作。2016年12月30日，省国土资源厅组织相关专家和省直机关，对</w:t>
      </w:r>
      <w:r>
        <w:rPr>
          <w:rFonts w:cs="Times New Roman"/>
          <w:szCs w:val="28"/>
        </w:rPr>
        <w:t>《</w:t>
      </w:r>
      <w:r>
        <w:rPr>
          <w:rFonts w:hint="eastAsia" w:cs="Times New Roman"/>
          <w:szCs w:val="28"/>
        </w:rPr>
        <w:t>耒阳市</w:t>
      </w:r>
      <w:r>
        <w:rPr>
          <w:rFonts w:cs="Times New Roman"/>
          <w:szCs w:val="28"/>
        </w:rPr>
        <w:t>土地利用总体规划（2006-2020年）》（2016年修订版）</w:t>
      </w:r>
      <w:r>
        <w:rPr>
          <w:rFonts w:hint="eastAsia" w:cs="Times New Roman"/>
          <w:szCs w:val="28"/>
        </w:rPr>
        <w:t>、进行了审查。</w:t>
      </w:r>
      <w:r>
        <w:rPr>
          <w:rFonts w:cs="Times New Roman"/>
          <w:szCs w:val="28"/>
        </w:rPr>
        <w:t>按法定程序，</w:t>
      </w:r>
      <w:r>
        <w:rPr>
          <w:rFonts w:hint="eastAsia" w:cs="Times New Roman"/>
          <w:szCs w:val="28"/>
        </w:rPr>
        <w:t>2017年5月11日，</w:t>
      </w:r>
      <w:r>
        <w:rPr>
          <w:rFonts w:cs="Times New Roman"/>
          <w:szCs w:val="28"/>
        </w:rPr>
        <w:t>湖南省人民政府批复《</w:t>
      </w:r>
      <w:r>
        <w:rPr>
          <w:rFonts w:hint="eastAsia" w:cs="Times New Roman"/>
          <w:szCs w:val="28"/>
        </w:rPr>
        <w:t>耒阳市</w:t>
      </w:r>
      <w:r>
        <w:rPr>
          <w:rFonts w:cs="Times New Roman"/>
          <w:szCs w:val="28"/>
        </w:rPr>
        <w:t>土地利用总体规划（2006-2020年）》（2016年修订版）实施。</w:t>
      </w:r>
    </w:p>
    <w:p>
      <w:pPr>
        <w:ind w:firstLine="560"/>
        <w:rPr>
          <w:rFonts w:cs="Times New Roman"/>
          <w:szCs w:val="28"/>
        </w:rPr>
      </w:pPr>
      <w:r>
        <w:rPr>
          <w:rFonts w:cs="Times New Roman"/>
          <w:szCs w:val="28"/>
        </w:rPr>
        <w:t>根据相关文件精神，耒阳市人民政府组织各乡</w:t>
      </w:r>
      <w:r>
        <w:rPr>
          <w:rFonts w:hint="eastAsia" w:cs="Times New Roman"/>
          <w:szCs w:val="28"/>
        </w:rPr>
        <w:t>（</w:t>
      </w:r>
      <w:r>
        <w:rPr>
          <w:rFonts w:cs="Times New Roman"/>
          <w:szCs w:val="28"/>
        </w:rPr>
        <w:t>镇</w:t>
      </w:r>
      <w:r>
        <w:rPr>
          <w:rFonts w:hint="eastAsia" w:cs="Times New Roman"/>
          <w:szCs w:val="28"/>
        </w:rPr>
        <w:t>）以</w:t>
      </w:r>
      <w:r>
        <w:rPr>
          <w:rFonts w:cs="Times New Roman"/>
          <w:szCs w:val="28"/>
        </w:rPr>
        <w:t>《</w:t>
      </w:r>
      <w:r>
        <w:rPr>
          <w:rFonts w:hint="eastAsia" w:cs="Times New Roman"/>
          <w:szCs w:val="28"/>
        </w:rPr>
        <w:t>耒阳市</w:t>
      </w:r>
      <w:r>
        <w:rPr>
          <w:rFonts w:cs="Times New Roman"/>
          <w:szCs w:val="28"/>
        </w:rPr>
        <w:t>土地利用总体规划（2006-2020年）实施评估报告》</w:t>
      </w:r>
      <w:r>
        <w:rPr>
          <w:rFonts w:hint="eastAsia" w:cs="Times New Roman"/>
          <w:szCs w:val="28"/>
        </w:rPr>
        <w:t>、</w:t>
      </w:r>
      <w:r>
        <w:rPr>
          <w:rFonts w:cs="Times New Roman"/>
          <w:szCs w:val="28"/>
        </w:rPr>
        <w:t>《</w:t>
      </w:r>
      <w:r>
        <w:rPr>
          <w:rFonts w:hint="eastAsia" w:cs="Times New Roman"/>
          <w:szCs w:val="28"/>
        </w:rPr>
        <w:t>耒阳市</w:t>
      </w:r>
      <w:r>
        <w:rPr>
          <w:rFonts w:cs="Times New Roman"/>
          <w:szCs w:val="28"/>
        </w:rPr>
        <w:t>土地利用总体规划（2006-2020年）》（2016年修订版）为基础</w:t>
      </w:r>
      <w:r>
        <w:rPr>
          <w:rFonts w:hint="eastAsia" w:cs="Times New Roman"/>
          <w:szCs w:val="28"/>
        </w:rPr>
        <w:t>，</w:t>
      </w:r>
      <w:r>
        <w:rPr>
          <w:rFonts w:cs="Times New Roman"/>
          <w:szCs w:val="28"/>
        </w:rPr>
        <w:t>开展了各乡</w:t>
      </w:r>
      <w:r>
        <w:rPr>
          <w:rFonts w:hint="eastAsia" w:cs="Times New Roman"/>
          <w:szCs w:val="28"/>
        </w:rPr>
        <w:t>（</w:t>
      </w:r>
      <w:r>
        <w:rPr>
          <w:rFonts w:cs="Times New Roman"/>
          <w:szCs w:val="28"/>
        </w:rPr>
        <w:t>镇</w:t>
      </w:r>
      <w:r>
        <w:rPr>
          <w:rFonts w:hint="eastAsia" w:cs="Times New Roman"/>
          <w:szCs w:val="28"/>
        </w:rPr>
        <w:t>）土地利用总体规划的调整完善工作，编制完成了《耒阳市新市镇等24个乡级土地利用总体规划（2006-2020年）2016年调整完善方案》（以下简称</w:t>
      </w:r>
      <w:r>
        <w:rPr>
          <w:rFonts w:cs="Times New Roman"/>
          <w:szCs w:val="28"/>
        </w:rPr>
        <w:t>“</w:t>
      </w:r>
      <w:r>
        <w:rPr>
          <w:rFonts w:hint="eastAsia" w:cs="Times New Roman"/>
          <w:szCs w:val="28"/>
        </w:rPr>
        <w:t>乡（镇）规划调整完善方案</w:t>
      </w:r>
      <w:r>
        <w:rPr>
          <w:rFonts w:cs="Times New Roman"/>
          <w:szCs w:val="28"/>
        </w:rPr>
        <w:t>”</w:t>
      </w:r>
      <w:r>
        <w:rPr>
          <w:rFonts w:hint="eastAsia" w:cs="Times New Roman"/>
          <w:szCs w:val="28"/>
        </w:rPr>
        <w:t>）。乡（镇）规划调整完善方案</w:t>
      </w:r>
      <w:r>
        <w:rPr>
          <w:rFonts w:cs="Times New Roman"/>
          <w:szCs w:val="28"/>
        </w:rPr>
        <w:t>是耒阳市</w:t>
      </w:r>
      <w:r>
        <w:rPr>
          <w:rFonts w:hint="eastAsia" w:cs="Times New Roman"/>
          <w:szCs w:val="28"/>
        </w:rPr>
        <w:t>各乡（镇）未来一段时期</w:t>
      </w:r>
      <w:r>
        <w:rPr>
          <w:rFonts w:cs="Times New Roman"/>
          <w:szCs w:val="28"/>
        </w:rPr>
        <w:t>各项土地利用活动的规范性文件，是落实土地用途管制的重要依据。</w:t>
      </w:r>
    </w:p>
    <w:p>
      <w:pPr>
        <w:ind w:firstLine="560"/>
        <w:rPr>
          <w:rFonts w:cs="Times New Roman"/>
          <w:szCs w:val="24"/>
        </w:rPr>
      </w:pPr>
      <w:r>
        <w:rPr>
          <w:rFonts w:hint="eastAsia" w:cs="Times New Roman"/>
          <w:szCs w:val="28"/>
        </w:rPr>
        <w:t>乡（镇）规划调整完善方案</w:t>
      </w:r>
      <w:r>
        <w:rPr>
          <w:rFonts w:cs="Times New Roman"/>
          <w:szCs w:val="24"/>
        </w:rPr>
        <w:t>以2005年为</w:t>
      </w:r>
      <w:r>
        <w:rPr>
          <w:rFonts w:hint="eastAsia" w:cs="Times New Roman"/>
          <w:szCs w:val="24"/>
        </w:rPr>
        <w:t>规划</w:t>
      </w:r>
      <w:r>
        <w:rPr>
          <w:rFonts w:cs="Times New Roman"/>
          <w:szCs w:val="24"/>
        </w:rPr>
        <w:t>基期年，2014年为</w:t>
      </w:r>
      <w:r>
        <w:rPr>
          <w:rFonts w:hint="eastAsia" w:cs="Times New Roman"/>
          <w:szCs w:val="24"/>
        </w:rPr>
        <w:t>规划</w:t>
      </w:r>
      <w:r>
        <w:rPr>
          <w:rFonts w:cs="Times New Roman"/>
          <w:szCs w:val="24"/>
        </w:rPr>
        <w:t>修改年，2020年为</w:t>
      </w:r>
      <w:r>
        <w:rPr>
          <w:rFonts w:hint="eastAsia" w:cs="Times New Roman"/>
          <w:szCs w:val="24"/>
        </w:rPr>
        <w:t>规划</w:t>
      </w:r>
      <w:r>
        <w:rPr>
          <w:rFonts w:cs="Times New Roman"/>
          <w:szCs w:val="24"/>
        </w:rPr>
        <w:t>目标年。</w:t>
      </w:r>
      <w:r>
        <w:rPr>
          <w:rFonts w:cs="Times New Roman"/>
          <w:szCs w:val="28"/>
        </w:rPr>
        <w:t>规划范围为耒阳市各</w:t>
      </w:r>
      <w:r>
        <w:rPr>
          <w:rFonts w:hint="eastAsia" w:cs="Times New Roman"/>
          <w:szCs w:val="28"/>
        </w:rPr>
        <w:t>乡（镇）</w:t>
      </w:r>
      <w:r>
        <w:rPr>
          <w:rFonts w:cs="Times New Roman"/>
          <w:szCs w:val="28"/>
        </w:rPr>
        <w:t>辖区内所有土地。</w:t>
      </w:r>
    </w:p>
    <w:p>
      <w:pPr>
        <w:ind w:firstLine="560"/>
        <w:rPr>
          <w:szCs w:val="28"/>
        </w:rPr>
      </w:pPr>
    </w:p>
    <w:p>
      <w:pPr>
        <w:ind w:firstLine="560"/>
        <w:rPr>
          <w:szCs w:val="28"/>
        </w:rPr>
      </w:pPr>
    </w:p>
    <w:p>
      <w:pPr>
        <w:ind w:firstLine="560"/>
        <w:rPr>
          <w:szCs w:val="28"/>
        </w:rPr>
      </w:pPr>
    </w:p>
    <w:p>
      <w:pPr>
        <w:ind w:firstLine="560"/>
        <w:rPr>
          <w:szCs w:val="28"/>
        </w:rPr>
      </w:pPr>
    </w:p>
    <w:p>
      <w:pPr>
        <w:widowControl/>
        <w:spacing w:line="240" w:lineRule="auto"/>
        <w:ind w:firstLine="0" w:firstLineChars="0"/>
        <w:jc w:val="left"/>
        <w:rPr>
          <w:rFonts w:eastAsia="黑体"/>
          <w:b/>
          <w:bCs/>
          <w:kern w:val="44"/>
          <w:sz w:val="32"/>
          <w:szCs w:val="44"/>
        </w:rPr>
      </w:pPr>
      <w:r>
        <w:br w:type="page"/>
      </w:r>
    </w:p>
    <w:p>
      <w:pPr>
        <w:pStyle w:val="2"/>
      </w:pPr>
      <w:bookmarkStart w:id="3" w:name="_Toc485040245"/>
      <w:bookmarkStart w:id="4" w:name="_Toc479943928"/>
      <w:r>
        <w:t>第</w:t>
      </w:r>
      <w:r>
        <w:rPr>
          <w:rFonts w:hint="eastAsia"/>
        </w:rPr>
        <w:t>一</w:t>
      </w:r>
      <w:r>
        <w:t xml:space="preserve">章  </w:t>
      </w:r>
      <w:r>
        <w:rPr>
          <w:rFonts w:hint="eastAsia"/>
        </w:rPr>
        <w:t>规划修改背景</w:t>
      </w:r>
      <w:bookmarkEnd w:id="3"/>
    </w:p>
    <w:p>
      <w:pPr>
        <w:pStyle w:val="3"/>
        <w:ind w:firstLine="602"/>
        <w:rPr>
          <w:szCs w:val="36"/>
        </w:rPr>
      </w:pPr>
      <w:bookmarkStart w:id="5" w:name="_Toc455503693"/>
      <w:bookmarkStart w:id="6" w:name="_Toc469878032"/>
      <w:bookmarkStart w:id="7" w:name="_Toc477514075"/>
      <w:bookmarkStart w:id="8" w:name="_Toc485040246"/>
      <w:bookmarkStart w:id="9" w:name="_Toc377181949"/>
      <w:bookmarkStart w:id="10" w:name="_Toc469877196"/>
      <w:r>
        <w:rPr>
          <w:szCs w:val="36"/>
        </w:rPr>
        <w:t>第一节</w:t>
      </w:r>
      <w:r>
        <w:rPr>
          <w:rFonts w:hint="eastAsia"/>
          <w:szCs w:val="36"/>
        </w:rPr>
        <w:t xml:space="preserve">  </w:t>
      </w:r>
      <w:r>
        <w:rPr>
          <w:szCs w:val="36"/>
        </w:rPr>
        <w:t>国家、省宏观背景变化</w:t>
      </w:r>
      <w:bookmarkEnd w:id="5"/>
      <w:bookmarkEnd w:id="6"/>
      <w:bookmarkEnd w:id="7"/>
      <w:bookmarkEnd w:id="8"/>
      <w:bookmarkEnd w:id="9"/>
      <w:bookmarkEnd w:id="10"/>
    </w:p>
    <w:p>
      <w:pPr>
        <w:ind w:firstLine="560"/>
      </w:pPr>
      <w:r>
        <w:t>现行规划实施以来，许多国家、省层面的宏观政策、发展战略的颁布与实施，使得耒阳市面临的经济社会发展形势随着外部环境的变化发生了显著变化，现行规划实施的宏观背景较规划修编时也发生了重大变化。</w:t>
      </w:r>
    </w:p>
    <w:p>
      <w:pPr>
        <w:pStyle w:val="4"/>
        <w:ind w:firstLine="562"/>
      </w:pPr>
      <w:r>
        <w:t>一、经济社会发展的宏观背景发生深刻变化</w:t>
      </w:r>
    </w:p>
    <w:p>
      <w:pPr>
        <w:pStyle w:val="4"/>
        <w:ind w:firstLine="562"/>
      </w:pPr>
      <w:r>
        <w:t>（一）国家对资源枯竭型城市的政策扶持，为区域经济社会发展带来了新机遇</w:t>
      </w:r>
    </w:p>
    <w:p>
      <w:pPr>
        <w:ind w:firstLine="560"/>
      </w:pPr>
      <w:r>
        <w:t>2009年，国务院确定耒阳市为国家第二批资源枯竭型城市，并予以资金支持和政策扶持，促进其实现可持续发展。国家对资源枯竭型城市的扶持，包括中央财政转移支付和诸如土地整治、生态保护、棚户区改造、替代产业培育等专项资金。2012年初，耒阳获批了资源枯竭城市延期支持项目，在前四年期满已到位6.60亿元补偿资金的基础上，自2012年起连续五年，每年将再获中央转移支付资金2亿－3亿元，资金主要用于社会保障、生态治理、公共基础设施建设、采煤沉陷区治理和棚户区改造等方面。</w:t>
      </w:r>
    </w:p>
    <w:p>
      <w:pPr>
        <w:ind w:firstLine="560"/>
      </w:pPr>
      <w:r>
        <w:t>借力政策东风，耒阳市把调整产业结构作为转型发展的着力点，积极淘汰建材、冶炼、化工产业等落后产能；利用接替产业培育专项资金，培育了机械制造、食品加工、新材料、新能源、电子、制鞋等六大产业雏形，加快推进园区建设。加强生态环境整治，有序推进矿山环境治理项目。持续改善社会民生，加快实施采煤沉陷区治理与棚户区改造项目。国家对资源枯竭型城市的政策扶持为耒阳市经济社会发展与转型带来了新的机遇。</w:t>
      </w:r>
    </w:p>
    <w:p>
      <w:pPr>
        <w:pStyle w:val="4"/>
        <w:ind w:firstLine="562"/>
      </w:pPr>
      <w:r>
        <w:t>（二）新型城镇化战略的推进，对统筹区域协调发展与构建现代化城镇体系提供了新动力</w:t>
      </w:r>
    </w:p>
    <w:p>
      <w:pPr>
        <w:ind w:firstLine="560"/>
      </w:pPr>
      <w:r>
        <w:t>2014年10月，湖南省人民政府正式印发了《湖南省推进新型城镇化实施纲要（2014—2020）》(简称《实施纲要》)。《实施纲要》提出，到2020年，发展50万—100万的城市4个（永州、娄底、怀化、耒阳）；并明确要以城市群为主体形态，以区域中心城市为依托、以县级市和县城为基础，以重点小城镇为补充，构建“一核六轴”的新型城镇化发展空间格局。“一核”为长株潭城市群，“六轴”为岳阳-长株潭-衡阳-郴州城镇发展轴、津澧-常德-益阳-娄底-邵阳-永州城镇发展轴、石门-吉首-怀化-通道城镇发展轴、长株潭-娄底-邵阳-怀化城镇发展轴、长株潭-益阳-常德-张家界-龙山城镇发展轴、岳阳-常德-吉首城镇发展轴。耒阳市是全省唯一县级市列入省级中心城市发展目标的城市，其并处在“岳阳-长株潭-衡阳-郴州城镇”发展轴上，未来规划实施期间，耒阳市城市化水平将进入高速发展阶段。耒阳市将全面提升中心城区和中心镇的综合承载能力，全力扩大非农产业规模；将强化城镇的产业支撑，培育一批工业带动型、现代农业型、商贸流通型和旅游服务型城镇，构建特色鲜明、错位发展、优势互补的城镇产业体系。新型城镇化战略的实施，定会为区域协调发展、现代化城镇体系构建与城镇建设释放新的动力。但是，保障新型城镇化战略的实施，新型城镇化过程中的基础设施和公共服务设施项目、民生工程的实施也必将引致城镇用地需求的增长，同时建设用地布局也将发生相应的变化。</w:t>
      </w:r>
    </w:p>
    <w:p>
      <w:pPr>
        <w:pStyle w:val="4"/>
        <w:ind w:firstLine="562"/>
      </w:pPr>
      <w:r>
        <w:t>二、土地利用及土地利用规划面临新形势</w:t>
      </w:r>
    </w:p>
    <w:p>
      <w:pPr>
        <w:pStyle w:val="4"/>
        <w:ind w:firstLine="562"/>
      </w:pPr>
      <w:bookmarkStart w:id="11" w:name="_Toc377181950"/>
      <w:r>
        <w:t>（一）党中央、国务院提出了生态文明建设的新要求</w:t>
      </w:r>
    </w:p>
    <w:p>
      <w:pPr>
        <w:ind w:firstLine="560"/>
      </w:pPr>
      <w:r>
        <w:t>2012年11月，党的十八大从新的历史起点出发，作出了“大力推进生态文明建设”的战略决策，提出“把生态文明建设放在更加突出的地位，融入经济建设、政治建设、文化建设、社会建设各方面和全过程”的总体布局，土地利用总体规划作为土地管理工作的“龙头”，生态文明建设中的“优化国土空间开发格局”对其做出了明确要求，要求国土资源开发利用要合理利用、有效保护包括国土资源在内的自然资源。而后国务院发布的《关于加快生态文明建设的意见》中提出“构建平衡适宜的城乡建设空间体系，适当增加生活空间、生态用地，保护和扩大绿地、水域、湿地等生态空间”、“将用途管制扩大到所有自然生态空间，划定并严守生态红线”、“完善基本农田保护制度、划定永久基本农田红线”等。土地利用总体规划应落实国家对生态文明建设的要求，突出对优质耕地和基础性生态用地的保护，严格落实永久基本农田保护红线和生态红线的划定，合理安排“三生空间”，进一步的优化国土空间开发格局。</w:t>
      </w:r>
    </w:p>
    <w:p>
      <w:pPr>
        <w:pStyle w:val="4"/>
        <w:ind w:firstLine="562"/>
      </w:pPr>
      <w:r>
        <w:t>（二）“多规合一”为土地利用总体规划理念指明了新方向</w:t>
      </w:r>
    </w:p>
    <w:p>
      <w:pPr>
        <w:ind w:firstLine="560"/>
      </w:pPr>
      <w:r>
        <w:t>2014年8月26日，国家发展改革委、国土资源部、环境保护部、住房城乡建设部四部委下发《关于开展市县“多规合一”试点工作的通知》（发改规划〔2014〕1971号），提出在全国28个市县开展“多规合一”试点。所谓“多规合一”是指推动国民经济和社会发展规划、城乡规划、土地利用规划、生态环境保护规划等多个规划的相互融合，融合到一张可以明确边界线的市县域图上，实现一个市县一本规划、一张蓝图，解决现有的这些规划自成体系、内容冲突、缺乏衔接协调等突出问题。土地利用总体规划作为“多规”里中观、微观层面的基本规划，应积极探索以经济社会发展规划、城乡规划、土地利用规划、生态环境保护规划为主的“多规合一”，强化土地利用规划的基础性作用，有力推进新型城镇化和城乡一体化发展，为科学引导国土空间开发利用打下基础。</w:t>
      </w:r>
    </w:p>
    <w:p>
      <w:pPr>
        <w:pStyle w:val="4"/>
        <w:ind w:firstLine="562"/>
      </w:pPr>
      <w:r>
        <w:t>（三）新的发展形势明确了土地利用总体规划的新任务</w:t>
      </w:r>
    </w:p>
    <w:p>
      <w:pPr>
        <w:ind w:firstLine="560"/>
      </w:pPr>
      <w:r>
        <w:t>十八届三中全会和中央一系列会议，对严格土地管理特别是加强土地规划管控、坚守耕地保护红线、划定城市开发边界和生态保护红线提出了新的更高要求。同时，国务院也要求“进一步强化土地利用规划管理和用途管制，要依据第二次全国土地调查成果，尽快完成各级土地利用总体规划的调整完善工作”。基于新的发展形势，国土资源部启动基于二调成果的土地利用总体规划调整完善工作，并明确三项任务：一是科学论证耕地保有量，要依据二调成果，调整增加耕地保有量和基本农田保护面积，合理安排生态退耕；二是有序推进“三线”划定，优先划定永久基本农田保护红线和生态保护红线，合理确定城市开发边界；三是及时更新规划数据库，做到图、数和实地相一致。</w:t>
      </w:r>
    </w:p>
    <w:p>
      <w:pPr>
        <w:pStyle w:val="4"/>
        <w:ind w:firstLine="562"/>
      </w:pPr>
      <w:r>
        <w:t>（四）耕地保护形势严峻，为土地利用总体规划带来了新的挑战</w:t>
      </w:r>
    </w:p>
    <w:p>
      <w:pPr>
        <w:ind w:firstLine="560"/>
      </w:pPr>
      <w:r>
        <w:t>2013年底，“二调成果”正式对外公布。调查成果显示：现有耕地高于《全国土地利用总体规划纲要（2006-2020年）》编制时18.31亿亩现状和18.05亿亩规划耕地保有目标。我国人口多、耕地少的基本国情没有改变，仍有相当数量质量较差的耕地。党的十八大、中央经济工作会议、城镇化工作会议、农村工作会议要求进一步强化耕地保护，确保粮食安全，严防死守耕地保护红线，确保实有耕地面积基本稳定，质量逐步提高，把最严格的耕地保护制度落到实处。为贯彻落实国家最严格的耕地保护制度，要求土地利用总体规划适应耕地保护的新要求，合理确定耕地和基本农田保护目标，严格划定基本农田保护红线，妥善处理经济发展、生态建设与耕地保护的关系。</w:t>
      </w:r>
    </w:p>
    <w:p>
      <w:pPr>
        <w:pStyle w:val="3"/>
        <w:ind w:firstLine="602"/>
      </w:pPr>
      <w:bookmarkStart w:id="12" w:name="_Toc477514076"/>
      <w:bookmarkStart w:id="13" w:name="_Toc485040247"/>
      <w:bookmarkStart w:id="14" w:name="_Toc455503694"/>
      <w:bookmarkStart w:id="15" w:name="_Toc469878033"/>
      <w:bookmarkStart w:id="16" w:name="_Toc469877197"/>
      <w:r>
        <w:t>第二节</w:t>
      </w:r>
      <w:r>
        <w:rPr>
          <w:rFonts w:hint="eastAsia"/>
        </w:rPr>
        <w:t xml:space="preserve">  </w:t>
      </w:r>
      <w:r>
        <w:t>区域内部发展因素的变化</w:t>
      </w:r>
      <w:bookmarkEnd w:id="11"/>
      <w:bookmarkEnd w:id="12"/>
      <w:bookmarkEnd w:id="13"/>
      <w:bookmarkEnd w:id="14"/>
      <w:bookmarkEnd w:id="15"/>
      <w:bookmarkEnd w:id="16"/>
    </w:p>
    <w:p>
      <w:pPr>
        <w:pStyle w:val="4"/>
        <w:ind w:firstLine="562"/>
      </w:pPr>
      <w:r>
        <w:t>一、影响耒阳市域经济社会发展的驱动因素发生显著变化，区域战略地位提升与交通条件显著改善</w:t>
      </w:r>
    </w:p>
    <w:p>
      <w:pPr>
        <w:ind w:firstLine="560"/>
      </w:pPr>
      <w:r>
        <w:t>耒阳市具有良好的水陆交通基础和形成区域交通枢纽的潜力优势。耒水是耒阳市的主要航道，属湘江水域，纵贯全市。京珠高速、京广铁路、G107、S320以及武广客运专线的建设使其形成发达的水陆交通体系，铁路、公路、水路多种运输方式将在其现状已具备的相当规模的基础上进一步形成水陆联运系统，并有遥田军民两用机场的航空运输作为补充，形成贯通南北、联系东西的立体综合对外交通体系。《促进中部地区崛起公路水路交通发展规划纲要》中提到：“中部地区已基本形成由铁路、公路、水运、民航、管道运输组成，以长江经济带和京广经济带为主轴的“三纵四横”综合运输通道格局”。然而，耒阳市就位于此综合运输格局中中通道的中间节点位置，其良好的公路、铁路、水运、航空综合交通体系使其成为中部地区纵向综合运输发展轴的重要节点和枢纽。</w:t>
      </w:r>
    </w:p>
    <w:p>
      <w:pPr>
        <w:ind w:firstLine="560"/>
      </w:pPr>
      <w:r>
        <w:t>根据湖南省“十三五”发展规划确定的“东部沿海地区和中西部地区过渡带、长江开放经济带和沿海开放经济带结合部”的新定位与“一核三极四带多点”区域发展战略布局，未来湖南省将形成“核心引领、板块联动、极带互动、多点支撑”的竞相发展新格局。然而，耒阳市正处在对接东部沿海地区和中西部地区过渡带的湘南地区承接产业转移板块的核心区域与“四带”中的京广高铁经济带的重要结点，其区域地位已融入并支撑起了湖南省的区域发展战略。</w:t>
      </w:r>
    </w:p>
    <w:p>
      <w:pPr>
        <w:ind w:firstLine="560"/>
      </w:pPr>
      <w:r>
        <w:t>对外交通条件的改善、区域战略地位的提升等将成为耒阳市区域经济发展新的驱动因素，同时，客观上也提高了耒阳市在区域中的地位。耒阳市需要在区域中重新审视自身的发展条件与驱动因素，调整未来的经济社会发展目标，修正城市发展定位与方向，确定合理城市规模并布局各类功能用地，这些都需要通过调整完善土地利用总体规划来实现。</w:t>
      </w:r>
    </w:p>
    <w:p>
      <w:pPr>
        <w:pStyle w:val="4"/>
        <w:ind w:firstLine="562"/>
      </w:pPr>
      <w:r>
        <w:t>二、行政区划的改革调整为未来耒阳市经济社会发展注入了活力</w:t>
      </w:r>
    </w:p>
    <w:p>
      <w:pPr>
        <w:ind w:firstLine="560"/>
      </w:pPr>
      <w:r>
        <w:t>为贯彻落实湖南省委、省政府《关于开展乡镇区划调整改革工作的意见（湘发）[2015]15号》文件精神和省市乡镇区划调整改革工作会议精神，按照湖南省委省政府的统一部署，结合耒阳市实际情况，耒阳市开展了乡镇区划调整改革。按照“扩大中心城区规模”、“做强中心镇实力，发挥聚集作用和辐射能力”、小乡小镇合并及尊重历史沿革、民俗文化、群众生产生活习惯等原则，撤销泗门洲、竹市2个建制镇，将这2个建制镇的行政区域调整划入水东江、灶市街2个街道；将余庆、磨形2个乡以及三顺街道成建制合并，设立余庆街道；将沙明乡与导子乡成建制合并设立导子镇；将洲陂乡与马水乡成建制合并设立马水镇；将上架乡与三都镇成建制合并设立三都镇；撤销东湖圩乡建制，设东湖圩镇；撤销大义乡建制，设大义镇。</w:t>
      </w:r>
    </w:p>
    <w:p>
      <w:pPr>
        <w:ind w:firstLine="560"/>
      </w:pPr>
      <w:r>
        <w:t>行政区划调整后，耒阳市乡镇数为由过去的36个（5个</w:t>
      </w:r>
      <w:r>
        <w:rPr>
          <w:rFonts w:hint="eastAsia"/>
        </w:rPr>
        <w:t>街道</w:t>
      </w:r>
      <w:r>
        <w:t>、13个镇、18个乡）调整为30个（6个街道、19个镇、5个乡），其中，三个乡镇整体划入中心城区控制范围。中心城区的控制范围由以前的113.65平方公里扩展到了</w:t>
      </w:r>
      <w:r>
        <w:rPr>
          <w:rFonts w:hint="eastAsia"/>
        </w:rPr>
        <w:t>128.18</w:t>
      </w:r>
      <w:r>
        <w:t>平方公里。通过区划调整，耒阳将有效拓展中心城市发展空间，增强集聚、辐射和带动能力，促进资源整合和要素集聚，在产业发展上形成新特色，在体制机制上营造新优势，促进转型升级，全面提高经济发展质量效益，以“经济强”为民生改善提供坚实保障。</w:t>
      </w:r>
    </w:p>
    <w:p>
      <w:pPr>
        <w:pStyle w:val="4"/>
        <w:ind w:firstLine="562"/>
      </w:pPr>
      <w:r>
        <w:t>三、产业替换与升级使耒阳市经济开发区发展重新焕发生机</w:t>
      </w:r>
    </w:p>
    <w:p>
      <w:pPr>
        <w:ind w:firstLine="560"/>
      </w:pPr>
      <w:r>
        <w:t>2014年，耒阳市实现地区生产总值354.96亿元，同比增长9.60%。其中，工业增加值为141.03亿元，增长8.2%，接续替代产业占工业比重已达78%。在推进产业接续替代过程中，耒阳市按照产业集群发展的思路，以耒阳市经济开发区为依托，着力培育新兴产业园区，重点建设了创新创业园、中小企业园以及循环经济工业园等园区。这些园区的发展壮大，对接续替代产业发展发挥了重要牵引作用，也使得耒阳市经济开发区的发展重新焕发生机，已初步形成机械制造、食品加工、新材料、新能源、电子、制鞋等六大主导产业集群雏形。随着国家对资源枯竭型城市接续替代产业的进一步培育，耒阳市委、市政府将加大支持重大项目、培育新兴产业的力度，耒阳市经济开发区将迈入快速发展阶段，也必将扩充耒阳市经济开发区工业产业用地规模。</w:t>
      </w:r>
    </w:p>
    <w:p>
      <w:pPr>
        <w:ind w:firstLine="560"/>
      </w:pPr>
    </w:p>
    <w:p>
      <w:pPr>
        <w:ind w:firstLine="560"/>
      </w:pPr>
    </w:p>
    <w:p>
      <w:pPr>
        <w:ind w:firstLine="560"/>
      </w:pPr>
    </w:p>
    <w:p>
      <w:pPr>
        <w:ind w:firstLine="560"/>
      </w:pPr>
    </w:p>
    <w:p>
      <w:pPr>
        <w:ind w:firstLine="560"/>
      </w:pPr>
    </w:p>
    <w:p>
      <w:pPr>
        <w:widowControl/>
        <w:spacing w:line="240" w:lineRule="auto"/>
        <w:ind w:firstLine="0" w:firstLineChars="0"/>
        <w:jc w:val="left"/>
        <w:rPr>
          <w:rFonts w:eastAsia="黑体"/>
          <w:b/>
          <w:bCs/>
          <w:kern w:val="44"/>
          <w:sz w:val="32"/>
          <w:szCs w:val="44"/>
        </w:rPr>
      </w:pPr>
      <w:r>
        <w:br w:type="page"/>
      </w:r>
    </w:p>
    <w:p>
      <w:pPr>
        <w:pStyle w:val="2"/>
      </w:pPr>
      <w:bookmarkStart w:id="17" w:name="_Toc485040248"/>
      <w:r>
        <w:t>第</w:t>
      </w:r>
      <w:r>
        <w:rPr>
          <w:rFonts w:hint="eastAsia"/>
        </w:rPr>
        <w:t>二</w:t>
      </w:r>
      <w:r>
        <w:t>章  规划修改工作概述</w:t>
      </w:r>
      <w:bookmarkEnd w:id="4"/>
      <w:bookmarkEnd w:id="17"/>
    </w:p>
    <w:p>
      <w:pPr>
        <w:pStyle w:val="3"/>
        <w:ind w:firstLine="602"/>
      </w:pPr>
      <w:bookmarkStart w:id="18" w:name="_Toc299993596"/>
      <w:bookmarkStart w:id="19" w:name="_Toc478318431"/>
      <w:bookmarkStart w:id="20" w:name="_Toc479943929"/>
      <w:bookmarkStart w:id="21" w:name="_Toc485040249"/>
      <w:bookmarkStart w:id="22" w:name="_Toc138390949"/>
      <w:bookmarkStart w:id="23" w:name="_Toc140723987"/>
      <w:bookmarkStart w:id="24" w:name="_Toc141460880"/>
      <w:bookmarkStart w:id="25" w:name="_Toc137840315"/>
      <w:r>
        <w:t xml:space="preserve">第一节 </w:t>
      </w:r>
      <w:r>
        <w:rPr>
          <w:rFonts w:hint="eastAsia"/>
        </w:rPr>
        <w:t xml:space="preserve"> </w:t>
      </w:r>
      <w:r>
        <w:t>指导思想</w:t>
      </w:r>
      <w:bookmarkEnd w:id="18"/>
      <w:bookmarkEnd w:id="19"/>
      <w:bookmarkEnd w:id="20"/>
      <w:bookmarkEnd w:id="21"/>
      <w:r>
        <w:tab/>
      </w:r>
    </w:p>
    <w:p>
      <w:pPr>
        <w:ind w:firstLine="560"/>
        <w:rPr>
          <w:szCs w:val="28"/>
        </w:rPr>
      </w:pPr>
      <w:bookmarkStart w:id="26" w:name="_Toc299993597"/>
      <w:r>
        <w:t>深入贯彻落实党的十八大会议精神和“创新、协调、绿色、开放、共享”的发展理念，坚持节约资源和保护环境的基本国策，全面落实最严格的耕地保护制度和节约集约用地制度；根据《</w:t>
      </w:r>
      <w:r>
        <w:rPr>
          <w:rFonts w:hint="eastAsia"/>
        </w:rPr>
        <w:t>耒阳市</w:t>
      </w:r>
      <w:r>
        <w:t>国民经济和社会发展第十三个五年规划纲要》</w:t>
      </w:r>
      <w:r>
        <w:rPr>
          <w:rFonts w:hint="eastAsia"/>
        </w:rPr>
        <w:t>、</w:t>
      </w:r>
      <w:r>
        <w:t>《</w:t>
      </w:r>
      <w:r>
        <w:rPr>
          <w:rFonts w:hint="eastAsia"/>
        </w:rPr>
        <w:t>耒阳市</w:t>
      </w:r>
      <w:r>
        <w:t>土地利用总体规划（2006-2020年）》（2016年修订版），抓住“新型城镇化”等重要战略机遇，结合</w:t>
      </w:r>
      <w:r>
        <w:rPr>
          <w:rFonts w:hint="eastAsia"/>
        </w:rPr>
        <w:t>耒阳市</w:t>
      </w:r>
      <w:r>
        <w:t>“十三五”规划</w:t>
      </w:r>
      <w:r>
        <w:rPr>
          <w:rFonts w:hint="eastAsia"/>
        </w:rPr>
        <w:t>与精准扶贫攻坚战略，</w:t>
      </w:r>
      <w:r>
        <w:t>以全面建成小康社会为目标，协同推进新型城镇化和新型工业化，全面落实土地用途管制制度，构建集约、高效、环保的土地利用新模式，不断提高土地资源对经济社会全面、协调、可持续发展的保障能力</w:t>
      </w:r>
      <w:r>
        <w:rPr>
          <w:szCs w:val="28"/>
        </w:rPr>
        <w:t>。</w:t>
      </w:r>
    </w:p>
    <w:p>
      <w:pPr>
        <w:pStyle w:val="3"/>
        <w:ind w:firstLine="602"/>
      </w:pPr>
      <w:bookmarkStart w:id="27" w:name="_Toc485040250"/>
      <w:bookmarkStart w:id="28" w:name="_Toc479943930"/>
      <w:bookmarkStart w:id="29" w:name="_Toc478318432"/>
      <w:r>
        <w:t xml:space="preserve">第二节 </w:t>
      </w:r>
      <w:r>
        <w:rPr>
          <w:rFonts w:hint="eastAsia"/>
        </w:rPr>
        <w:t xml:space="preserve"> </w:t>
      </w:r>
      <w:r>
        <w:t>规划修改的依据</w:t>
      </w:r>
      <w:bookmarkEnd w:id="27"/>
      <w:bookmarkEnd w:id="28"/>
      <w:bookmarkEnd w:id="29"/>
    </w:p>
    <w:p>
      <w:pPr>
        <w:pStyle w:val="4"/>
        <w:ind w:firstLine="562"/>
      </w:pPr>
      <w:r>
        <w:t>一、国家相关法律、法规、政策、文件</w:t>
      </w:r>
    </w:p>
    <w:p>
      <w:pPr>
        <w:ind w:firstLine="560"/>
      </w:pPr>
      <w:r>
        <w:t>1、《中华人民共和国土地管理法》；</w:t>
      </w:r>
    </w:p>
    <w:p>
      <w:pPr>
        <w:ind w:firstLine="560"/>
      </w:pPr>
      <w:r>
        <w:t>2、《中华人民共和国土地管理法实施条例》；</w:t>
      </w:r>
    </w:p>
    <w:p>
      <w:pPr>
        <w:ind w:firstLine="560"/>
      </w:pPr>
      <w:r>
        <w:t>3、《中华人民共和国基本农田保护条例》；</w:t>
      </w:r>
    </w:p>
    <w:p>
      <w:pPr>
        <w:ind w:firstLine="560"/>
      </w:pPr>
      <w:r>
        <w:t>4、《中华人民共和国城乡规划法》；</w:t>
      </w:r>
    </w:p>
    <w:p>
      <w:pPr>
        <w:ind w:firstLine="560"/>
      </w:pPr>
      <w:r>
        <w:t>5、《中华人民共和国环境保护法》（2014年修订）；</w:t>
      </w:r>
    </w:p>
    <w:p>
      <w:pPr>
        <w:ind w:firstLine="560"/>
      </w:pPr>
      <w:r>
        <w:t>6、《中华人民共和国</w:t>
      </w:r>
      <w:r>
        <w:rPr>
          <w:rFonts w:hint="eastAsia"/>
          <w:lang w:eastAsia="zh-CN"/>
        </w:rPr>
        <w:t>水土保持法</w:t>
      </w:r>
      <w:r>
        <w:t>》（2010年修订）；</w:t>
      </w:r>
    </w:p>
    <w:p>
      <w:pPr>
        <w:ind w:firstLine="560"/>
      </w:pPr>
      <w:r>
        <w:t>7、《土地利用总体规划编制审查办法》（国土资源部第43号令）；</w:t>
      </w:r>
    </w:p>
    <w:p>
      <w:pPr>
        <w:ind w:firstLine="560"/>
      </w:pPr>
      <w:r>
        <w:t>8、国土资源部办公厅《关于印发市县乡级土地利用总体规划编制指导意见的通知》（国土资厅发〔2009〕51号）；</w:t>
      </w:r>
    </w:p>
    <w:p>
      <w:pPr>
        <w:ind w:firstLine="560"/>
      </w:pPr>
      <w:r>
        <w:t>9、国土资源部办公厅《关于严格土地利用总体规划实施管理的通知》（国土资发〔2012〕2号）；</w:t>
      </w:r>
    </w:p>
    <w:p>
      <w:pPr>
        <w:ind w:firstLine="560"/>
      </w:pPr>
      <w:r>
        <w:t>10、国土资源部办公厅《关于印发土地利用总体规划中期评估工作方案的通知》（国土资厅发〔2013〕25号）；</w:t>
      </w:r>
    </w:p>
    <w:p>
      <w:pPr>
        <w:ind w:firstLine="560"/>
      </w:pPr>
      <w:r>
        <w:t>11、国土资源部《关于强化管控落实最严格耕地保护制度的通知》（国土资发〔2014〕18号）</w:t>
      </w:r>
    </w:p>
    <w:p>
      <w:pPr>
        <w:ind w:firstLine="560"/>
      </w:pPr>
      <w:r>
        <w:t>12、国土资源部《关于印发〈土地利用总体规划调整完善工作方案〉的通知》（国土资厅函〔2014〕1237号）；</w:t>
      </w:r>
    </w:p>
    <w:p>
      <w:pPr>
        <w:ind w:firstLine="560"/>
      </w:pPr>
      <w:r>
        <w:t>13、国土资源部、农业部联合下发《关于进一步做好永久基本农田划定工作的通知》（国土资发〔2014〕128号）；</w:t>
      </w:r>
    </w:p>
    <w:p>
      <w:pPr>
        <w:ind w:firstLine="560"/>
      </w:pPr>
      <w:r>
        <w:t>14、国土资源部农业部《关于全面划定永久基本农田实行特殊保护的通知》（国土资规〔2016〕10号）。</w:t>
      </w:r>
    </w:p>
    <w:p>
      <w:pPr>
        <w:pStyle w:val="4"/>
        <w:ind w:firstLine="562"/>
      </w:pPr>
      <w:r>
        <w:t>二、湖南省相关政策及法规</w:t>
      </w:r>
    </w:p>
    <w:p>
      <w:pPr>
        <w:ind w:firstLine="560"/>
      </w:pPr>
      <w:r>
        <w:t>1、《湖南省土地利用总体规划实施条例》；</w:t>
      </w:r>
    </w:p>
    <w:p>
      <w:pPr>
        <w:ind w:firstLine="560"/>
      </w:pPr>
      <w:r>
        <w:t>2、《湖南省耕地质量管理条例》；</w:t>
      </w:r>
    </w:p>
    <w:p>
      <w:pPr>
        <w:ind w:firstLine="560"/>
      </w:pPr>
      <w:r>
        <w:t>3、《湖南省最严格水资源管理制度实施方案》（湘政发〔2013〕32号）；</w:t>
      </w:r>
    </w:p>
    <w:p>
      <w:pPr>
        <w:ind w:firstLine="560"/>
      </w:pPr>
      <w:r>
        <w:t>4、湖南省人民政府《关于印发湖南省主体功能区规划》的通知（湘政发〔2012〕39号）；</w:t>
      </w:r>
    </w:p>
    <w:p>
      <w:pPr>
        <w:ind w:firstLine="560"/>
      </w:pPr>
      <w:r>
        <w:t>5、湖南省国土资源厅《关于规范土地利用总体规划调整与修改工作的通知》（湘国土资发〔2012〕10号）；</w:t>
      </w:r>
    </w:p>
    <w:p>
      <w:pPr>
        <w:ind w:firstLine="560"/>
      </w:pPr>
      <w:r>
        <w:t>6、湖南省国土资源厅《关于严格土地利用总体规划和计划管理的实施意见》（湘国土资发〔2012〕11号）；</w:t>
      </w:r>
    </w:p>
    <w:p>
      <w:pPr>
        <w:ind w:firstLine="560"/>
      </w:pPr>
      <w:r>
        <w:t>7、湖南省国土资源厅《关于规范和改进农村宅基地管理的若干意见》；</w:t>
      </w:r>
    </w:p>
    <w:p>
      <w:pPr>
        <w:ind w:firstLine="560"/>
      </w:pPr>
      <w:r>
        <w:t>8、中共湖南省委湖南省人民政府《关于加快新型城镇化推进城乡一体化的意见》；</w:t>
      </w:r>
    </w:p>
    <w:p>
      <w:pPr>
        <w:ind w:firstLine="560"/>
      </w:pPr>
      <w:r>
        <w:t>9、湖南省国土资源厅《转发国土资源部办公厅关于印发土地利用总体规划中期评估工作方案的通知》（湘国土资办发〔2013〕83号）；</w:t>
      </w:r>
    </w:p>
    <w:p>
      <w:pPr>
        <w:ind w:firstLine="560"/>
      </w:pPr>
      <w:r>
        <w:t>10、湖南省国土资源厅《关于切实加强耕地保护与建设的通知》（湘国土资发〔2014〕29号）；</w:t>
      </w:r>
    </w:p>
    <w:p>
      <w:pPr>
        <w:ind w:firstLine="560"/>
      </w:pPr>
      <w:r>
        <w:t>11、湖南省国土资源厅湖南省农业委员会《转发国土资源部农业部关于进一步做好永久基本农田划定工作的通知》（湘国土资发〔2014〕46号）；</w:t>
      </w:r>
    </w:p>
    <w:p>
      <w:pPr>
        <w:ind w:firstLine="560"/>
      </w:pPr>
      <w:r>
        <w:t>12、湖南省国土资源厅《关于印发〈湖南省土地利用总体规划调整完善工作方案〉的通知》（湘国土资办发〔2014〕47号）；</w:t>
      </w:r>
    </w:p>
    <w:p>
      <w:pPr>
        <w:ind w:firstLine="560"/>
      </w:pPr>
      <w:r>
        <w:t>13、湖南省国土资源厅《关于加快推进土地利用总体规划调整完善和永久基本农田划定工作的通知》（湘国土资办发〔2016〕129号）；</w:t>
      </w:r>
    </w:p>
    <w:p>
      <w:pPr>
        <w:ind w:firstLine="560"/>
      </w:pPr>
      <w:r>
        <w:t>14、湖南省国土资源厅关于印发《湖南省耕地保有量和基本农田保护面积指标分解表》的通知（湘国土资发〔2016〕60号）；</w:t>
      </w:r>
    </w:p>
    <w:p>
      <w:pPr>
        <w:ind w:firstLine="560"/>
      </w:pPr>
      <w:r>
        <w:t>15、湖南省国土资源厅（厅长办公）会议纪要第14号（2016年8月15日）。</w:t>
      </w:r>
    </w:p>
    <w:p>
      <w:pPr>
        <w:pStyle w:val="4"/>
        <w:ind w:firstLine="562"/>
      </w:pPr>
      <w:r>
        <w:t>三、技术规范</w:t>
      </w:r>
    </w:p>
    <w:p>
      <w:pPr>
        <w:ind w:firstLine="560"/>
      </w:pPr>
      <w:r>
        <w:t>1、《土地利用现状分类标准》（GBT21010-2007）；</w:t>
      </w:r>
    </w:p>
    <w:p>
      <w:pPr>
        <w:ind w:firstLine="560"/>
      </w:pPr>
      <w:r>
        <w:t>2、《城市用地分类与规划建设用地标准》（GBJ137-2011）；</w:t>
      </w:r>
    </w:p>
    <w:p>
      <w:pPr>
        <w:ind w:firstLine="560"/>
      </w:pPr>
      <w:r>
        <w:t>3、《</w:t>
      </w:r>
      <w:r>
        <w:rPr>
          <w:rFonts w:hint="eastAsia"/>
        </w:rPr>
        <w:t>乡</w:t>
      </w:r>
      <w:r>
        <w:t>规划标准》（</w:t>
      </w:r>
      <w:r>
        <w:rPr>
          <w:rFonts w:hint="eastAsia"/>
        </w:rPr>
        <w:t>CECS366-2014</w:t>
      </w:r>
      <w:r>
        <w:t>）；</w:t>
      </w:r>
    </w:p>
    <w:p>
      <w:pPr>
        <w:ind w:firstLine="560"/>
      </w:pPr>
      <w:r>
        <w:t>4、《公路工程项目建设用地指标》（建标〔2011〕124号）；</w:t>
      </w:r>
    </w:p>
    <w:p>
      <w:pPr>
        <w:ind w:firstLine="560"/>
      </w:pPr>
      <w:r>
        <w:t>5、《</w:t>
      </w:r>
      <w:r>
        <w:rPr>
          <w:rFonts w:hint="eastAsia"/>
        </w:rPr>
        <w:t>乡（镇）</w:t>
      </w:r>
      <w:r>
        <w:t>土地利用总体规划制图规范》（TD/T1021-2009）；</w:t>
      </w:r>
    </w:p>
    <w:p>
      <w:pPr>
        <w:ind w:firstLine="560"/>
      </w:pPr>
      <w:r>
        <w:t>6、《</w:t>
      </w:r>
      <w:r>
        <w:rPr>
          <w:rFonts w:hint="eastAsia"/>
        </w:rPr>
        <w:t>乡（镇）</w:t>
      </w:r>
      <w:r>
        <w:t>土地利用总体规划编制技术规程》（TD/T1024-2010）；</w:t>
      </w:r>
    </w:p>
    <w:p>
      <w:pPr>
        <w:ind w:firstLine="560"/>
      </w:pPr>
      <w:r>
        <w:t>7、《</w:t>
      </w:r>
      <w:r>
        <w:rPr>
          <w:rFonts w:hint="eastAsia"/>
        </w:rPr>
        <w:t>乡（镇）</w:t>
      </w:r>
      <w:r>
        <w:t>土地利用总体规划数据库标准》（TD/T1027-2010）。</w:t>
      </w:r>
    </w:p>
    <w:p>
      <w:pPr>
        <w:pStyle w:val="4"/>
        <w:ind w:firstLine="562"/>
      </w:pPr>
      <w:r>
        <w:t>四、相关规划</w:t>
      </w:r>
    </w:p>
    <w:p>
      <w:pPr>
        <w:ind w:firstLine="560"/>
      </w:pPr>
      <w:r>
        <w:t>1、《国家新型城镇化规划（2014-2020年）》；</w:t>
      </w:r>
    </w:p>
    <w:p>
      <w:pPr>
        <w:ind w:firstLine="560"/>
      </w:pPr>
      <w:r>
        <w:t>2、《湖南省主体功能区规划》；</w:t>
      </w:r>
    </w:p>
    <w:p>
      <w:pPr>
        <w:ind w:firstLine="560"/>
      </w:pPr>
      <w:r>
        <w:t>3、《湖南省推进新型城镇化规划（2015-2020年）》；</w:t>
      </w:r>
    </w:p>
    <w:p>
      <w:pPr>
        <w:ind w:firstLine="560"/>
      </w:pPr>
      <w:r>
        <w:t>4、《衡阳市城市总体规划（2006-2020年）》（201</w:t>
      </w:r>
      <w:r>
        <w:rPr>
          <w:rFonts w:hint="eastAsia"/>
        </w:rPr>
        <w:t>6</w:t>
      </w:r>
      <w:r>
        <w:t>年修订）；</w:t>
      </w:r>
    </w:p>
    <w:p>
      <w:pPr>
        <w:ind w:firstLine="560"/>
      </w:pPr>
      <w:r>
        <w:t>5、《衡阳市土地利用总体规划（2006-2020年）》；</w:t>
      </w:r>
    </w:p>
    <w:p>
      <w:pPr>
        <w:ind w:firstLine="560"/>
        <w:rPr>
          <w:rFonts w:cs="Times New Roman"/>
          <w:szCs w:val="28"/>
        </w:rPr>
      </w:pPr>
      <w:r>
        <w:rPr>
          <w:rFonts w:cs="Times New Roman"/>
          <w:szCs w:val="28"/>
        </w:rPr>
        <w:t>6、《衡阳市“十三五”工业发展规划》；</w:t>
      </w:r>
    </w:p>
    <w:p>
      <w:pPr>
        <w:ind w:firstLine="560"/>
        <w:rPr>
          <w:rFonts w:cs="Times New Roman"/>
          <w:szCs w:val="28"/>
        </w:rPr>
      </w:pPr>
      <w:r>
        <w:rPr>
          <w:rFonts w:cs="Times New Roman"/>
          <w:szCs w:val="28"/>
        </w:rPr>
        <w:t>7、《耒阳市土地利用总体规划（2006-2020年）》</w:t>
      </w:r>
      <w:r>
        <w:rPr>
          <w:rFonts w:hint="eastAsia"/>
        </w:rPr>
        <w:t>（2016年修订版）</w:t>
      </w:r>
      <w:r>
        <w:rPr>
          <w:rFonts w:cs="Times New Roman"/>
          <w:szCs w:val="28"/>
        </w:rPr>
        <w:t>；</w:t>
      </w:r>
    </w:p>
    <w:p>
      <w:pPr>
        <w:ind w:firstLine="560"/>
        <w:rPr>
          <w:rFonts w:cs="Times New Roman"/>
          <w:szCs w:val="28"/>
        </w:rPr>
      </w:pPr>
      <w:r>
        <w:rPr>
          <w:rFonts w:cs="Times New Roman"/>
          <w:szCs w:val="28"/>
        </w:rPr>
        <w:t>8、《耒阳市城市总体规划（2015-2030）》（报批稿）；</w:t>
      </w:r>
    </w:p>
    <w:p>
      <w:pPr>
        <w:ind w:firstLine="560"/>
        <w:rPr>
          <w:rFonts w:cs="Times New Roman"/>
          <w:szCs w:val="28"/>
        </w:rPr>
      </w:pPr>
      <w:r>
        <w:rPr>
          <w:rFonts w:cs="Times New Roman"/>
          <w:szCs w:val="28"/>
        </w:rPr>
        <w:t>9、耒阳市2014年国民经济和社会发展统计公报；</w:t>
      </w:r>
    </w:p>
    <w:p>
      <w:pPr>
        <w:ind w:firstLine="560"/>
        <w:rPr>
          <w:rFonts w:cs="Times New Roman"/>
          <w:szCs w:val="28"/>
        </w:rPr>
      </w:pPr>
      <w:r>
        <w:rPr>
          <w:rFonts w:cs="Times New Roman"/>
          <w:szCs w:val="28"/>
        </w:rPr>
        <w:t>10、《耒阳市国民经济和社会发展第十三个五年规划纲要》；</w:t>
      </w:r>
    </w:p>
    <w:p>
      <w:pPr>
        <w:ind w:firstLine="560"/>
        <w:rPr>
          <w:rFonts w:cs="Times New Roman"/>
          <w:szCs w:val="28"/>
        </w:rPr>
      </w:pPr>
      <w:r>
        <w:rPr>
          <w:rFonts w:cs="Times New Roman"/>
          <w:szCs w:val="28"/>
        </w:rPr>
        <w:t>11、《耒阳市土地整治规划（2011-2020年）》；</w:t>
      </w:r>
    </w:p>
    <w:p>
      <w:pPr>
        <w:ind w:firstLine="560"/>
        <w:rPr>
          <w:rFonts w:cs="Times New Roman"/>
          <w:szCs w:val="28"/>
        </w:rPr>
      </w:pPr>
      <w:r>
        <w:rPr>
          <w:rFonts w:cs="Times New Roman"/>
          <w:szCs w:val="28"/>
        </w:rPr>
        <w:t>12、《耒阳市矿产资源总体规划（2016-2020年）》（征求意见稿）。</w:t>
      </w:r>
    </w:p>
    <w:p>
      <w:pPr>
        <w:pStyle w:val="4"/>
        <w:ind w:firstLine="562"/>
      </w:pPr>
      <w:r>
        <w:t>五、其他资料</w:t>
      </w:r>
    </w:p>
    <w:p>
      <w:pPr>
        <w:ind w:firstLine="560"/>
      </w:pPr>
      <w:r>
        <w:t>1、耒阳市2006-2014年统计年鉴；</w:t>
      </w:r>
    </w:p>
    <w:p>
      <w:pPr>
        <w:ind w:firstLine="560"/>
      </w:pPr>
      <w:r>
        <w:t>2、耒阳市2006-2014年建设用地审批台账；</w:t>
      </w:r>
    </w:p>
    <w:p>
      <w:pPr>
        <w:ind w:firstLine="560"/>
      </w:pPr>
      <w:r>
        <w:t>3、耒阳市2006-2014年土地开发整理复垦项目验收台账；</w:t>
      </w:r>
    </w:p>
    <w:p>
      <w:pPr>
        <w:ind w:firstLine="560"/>
      </w:pPr>
      <w:r>
        <w:t>4、《耒阳市耕地后备资源调查评价数据库》（2013年）；</w:t>
      </w:r>
    </w:p>
    <w:p>
      <w:pPr>
        <w:ind w:firstLine="560"/>
      </w:pPr>
      <w:r>
        <w:t>5、耒阳市2014年度土地利用现状变更调查数据库；</w:t>
      </w:r>
    </w:p>
    <w:p>
      <w:pPr>
        <w:ind w:firstLine="560"/>
      </w:pPr>
      <w:r>
        <w:t>6、耒阳市2014年乡（镇）级土地利用总体规划数据库；</w:t>
      </w:r>
    </w:p>
    <w:p>
      <w:pPr>
        <w:ind w:firstLine="560"/>
      </w:pPr>
      <w:r>
        <w:t>7、耒阳市2013-2015年土地利用总体规划修改调整台账；</w:t>
      </w:r>
    </w:p>
    <w:p>
      <w:pPr>
        <w:ind w:firstLine="560"/>
      </w:pPr>
      <w:r>
        <w:t>8、耒阳市永久性基本农田划定成果；</w:t>
      </w:r>
    </w:p>
    <w:p>
      <w:pPr>
        <w:ind w:firstLine="560"/>
      </w:pPr>
      <w:r>
        <w:t>9、耒阳市2013年耕地质量等别年度更新评价成果。</w:t>
      </w:r>
    </w:p>
    <w:bookmarkEnd w:id="2"/>
    <w:bookmarkEnd w:id="22"/>
    <w:bookmarkEnd w:id="23"/>
    <w:bookmarkEnd w:id="24"/>
    <w:bookmarkEnd w:id="25"/>
    <w:bookmarkEnd w:id="26"/>
    <w:p>
      <w:pPr>
        <w:pStyle w:val="3"/>
        <w:ind w:firstLine="602"/>
        <w:rPr>
          <w:szCs w:val="36"/>
        </w:rPr>
      </w:pPr>
      <w:bookmarkStart w:id="30" w:name="_Toc141460881"/>
      <w:bookmarkStart w:id="31" w:name="_Toc299993598"/>
      <w:bookmarkStart w:id="32" w:name="_Toc478318433"/>
      <w:bookmarkStart w:id="33" w:name="_Toc485040251"/>
      <w:bookmarkStart w:id="34" w:name="_Toc479943931"/>
      <w:bookmarkStart w:id="35" w:name="_Toc135580609"/>
      <w:bookmarkStart w:id="36" w:name="_Toc137840316"/>
      <w:bookmarkStart w:id="37" w:name="_Toc138390950"/>
      <w:bookmarkStart w:id="38" w:name="_Toc369769909"/>
      <w:bookmarkStart w:id="39" w:name="_Toc140723988"/>
      <w:bookmarkStart w:id="40" w:name="_Toc368680925"/>
      <w:r>
        <w:t xml:space="preserve">第三节 </w:t>
      </w:r>
      <w:r>
        <w:rPr>
          <w:rFonts w:hint="eastAsia"/>
        </w:rPr>
        <w:t xml:space="preserve"> </w:t>
      </w:r>
      <w:r>
        <w:t>规划修改的原则</w:t>
      </w:r>
      <w:bookmarkEnd w:id="30"/>
      <w:bookmarkEnd w:id="31"/>
      <w:bookmarkEnd w:id="32"/>
      <w:bookmarkEnd w:id="33"/>
      <w:bookmarkEnd w:id="34"/>
      <w:bookmarkEnd w:id="35"/>
      <w:bookmarkEnd w:id="36"/>
      <w:bookmarkEnd w:id="37"/>
      <w:bookmarkEnd w:id="38"/>
      <w:bookmarkEnd w:id="39"/>
      <w:bookmarkEnd w:id="40"/>
    </w:p>
    <w:p>
      <w:pPr>
        <w:pStyle w:val="4"/>
        <w:ind w:firstLine="562"/>
      </w:pPr>
      <w:bookmarkStart w:id="41" w:name="_Toc443836887"/>
      <w:bookmarkStart w:id="42" w:name="_Toc443819882"/>
      <w:bookmarkStart w:id="43" w:name="_Toc369857874"/>
      <w:bookmarkStart w:id="44" w:name="_Toc368780023"/>
      <w:bookmarkStart w:id="45" w:name="_Toc445998220"/>
      <w:bookmarkStart w:id="46" w:name="_Toc445997383"/>
      <w:bookmarkStart w:id="47" w:name="_Toc368779875"/>
      <w:bookmarkStart w:id="48" w:name="_Toc443837076"/>
      <w:bookmarkStart w:id="49" w:name="_Toc443940858"/>
      <w:bookmarkStart w:id="50" w:name="_Toc290847453"/>
      <w:bookmarkStart w:id="51" w:name="_Toc368773194"/>
      <w:bookmarkStart w:id="52" w:name="_Toc455418292"/>
      <w:bookmarkStart w:id="53" w:name="_Toc449211034"/>
      <w:bookmarkStart w:id="54" w:name="_Toc446257134"/>
      <w:r>
        <w:t>一、</w:t>
      </w:r>
      <w:bookmarkEnd w:id="41"/>
      <w:bookmarkEnd w:id="42"/>
      <w:bookmarkEnd w:id="43"/>
      <w:bookmarkEnd w:id="44"/>
      <w:bookmarkEnd w:id="45"/>
      <w:bookmarkEnd w:id="46"/>
      <w:bookmarkEnd w:id="47"/>
      <w:bookmarkEnd w:id="48"/>
      <w:bookmarkEnd w:id="49"/>
      <w:bookmarkEnd w:id="50"/>
      <w:bookmarkEnd w:id="51"/>
      <w:r>
        <w:t>严格保护耕地原则</w:t>
      </w:r>
      <w:bookmarkEnd w:id="52"/>
      <w:bookmarkEnd w:id="53"/>
      <w:bookmarkEnd w:id="54"/>
    </w:p>
    <w:p>
      <w:pPr>
        <w:ind w:firstLine="560"/>
      </w:pPr>
      <w:r>
        <w:t>坚持从保障粮食、经济、生态安全和社会稳定出发，严格保护耕地和基本农田，控制非农业建设用地占用耕地；坚持耕地保护数量和质量并重；积极推进土地整治，提高农业综合生产能力。</w:t>
      </w:r>
    </w:p>
    <w:p>
      <w:pPr>
        <w:pStyle w:val="4"/>
        <w:ind w:firstLine="562"/>
      </w:pPr>
      <w:bookmarkStart w:id="55" w:name="_Toc443837077"/>
      <w:bookmarkStart w:id="56" w:name="_Toc443836888"/>
      <w:bookmarkStart w:id="57" w:name="_Toc443819883"/>
      <w:bookmarkStart w:id="58" w:name="_Toc368780024"/>
      <w:bookmarkStart w:id="59" w:name="_Toc369857875"/>
      <w:bookmarkStart w:id="60" w:name="_Toc290847454"/>
      <w:bookmarkStart w:id="61" w:name="_Toc445998221"/>
      <w:bookmarkStart w:id="62" w:name="_Toc445997384"/>
      <w:bookmarkStart w:id="63" w:name="_Toc443940859"/>
      <w:bookmarkStart w:id="64" w:name="_Toc368773195"/>
      <w:bookmarkStart w:id="65" w:name="_Toc368779876"/>
      <w:bookmarkStart w:id="66" w:name="_Toc455418293"/>
      <w:bookmarkStart w:id="67" w:name="_Toc449211035"/>
      <w:bookmarkStart w:id="68" w:name="_Toc446257135"/>
      <w:r>
        <w:t>二、</w:t>
      </w:r>
      <w:bookmarkEnd w:id="55"/>
      <w:bookmarkEnd w:id="56"/>
      <w:bookmarkEnd w:id="57"/>
      <w:bookmarkEnd w:id="58"/>
      <w:bookmarkEnd w:id="59"/>
      <w:bookmarkEnd w:id="60"/>
      <w:bookmarkEnd w:id="61"/>
      <w:bookmarkEnd w:id="62"/>
      <w:bookmarkEnd w:id="63"/>
      <w:bookmarkEnd w:id="64"/>
      <w:bookmarkEnd w:id="65"/>
      <w:r>
        <w:t>集约利用土地原则</w:t>
      </w:r>
      <w:bookmarkEnd w:id="66"/>
      <w:bookmarkEnd w:id="67"/>
      <w:bookmarkEnd w:id="68"/>
    </w:p>
    <w:p>
      <w:pPr>
        <w:ind w:firstLine="560"/>
      </w:pPr>
      <w:r>
        <w:t>按照建设资源节约型社会的要求，以节约集约利用土地为核心，合理控制建设用地规模，推动土地利用方式由外延扩张向内涵挖潜、由粗放低效向集约高效转变，不断提高土地利用效率。</w:t>
      </w:r>
    </w:p>
    <w:p>
      <w:pPr>
        <w:pStyle w:val="4"/>
        <w:ind w:firstLine="562"/>
      </w:pPr>
      <w:bookmarkStart w:id="69" w:name="_Toc368779877"/>
      <w:bookmarkStart w:id="70" w:name="_Toc368773196"/>
      <w:bookmarkStart w:id="71" w:name="_Toc443836889"/>
      <w:bookmarkStart w:id="72" w:name="_Toc290847455"/>
      <w:bookmarkStart w:id="73" w:name="_Toc445998222"/>
      <w:bookmarkStart w:id="74" w:name="_Toc445997385"/>
      <w:bookmarkStart w:id="75" w:name="_Toc443837078"/>
      <w:bookmarkStart w:id="76" w:name="_Toc443940860"/>
      <w:bookmarkStart w:id="77" w:name="_Toc368780025"/>
      <w:bookmarkStart w:id="78" w:name="_Toc443819884"/>
      <w:bookmarkStart w:id="79" w:name="_Toc369857876"/>
      <w:bookmarkStart w:id="80" w:name="_Toc446257136"/>
      <w:bookmarkStart w:id="81" w:name="_Toc449211036"/>
      <w:bookmarkStart w:id="82" w:name="_Toc455418294"/>
      <w:r>
        <w:t>三、</w:t>
      </w:r>
      <w:bookmarkEnd w:id="69"/>
      <w:bookmarkEnd w:id="70"/>
      <w:bookmarkEnd w:id="71"/>
      <w:bookmarkEnd w:id="72"/>
      <w:bookmarkEnd w:id="73"/>
      <w:bookmarkEnd w:id="74"/>
      <w:bookmarkEnd w:id="75"/>
      <w:bookmarkEnd w:id="76"/>
      <w:bookmarkEnd w:id="77"/>
      <w:bookmarkEnd w:id="78"/>
      <w:bookmarkEnd w:id="79"/>
      <w:r>
        <w:t>统筹发展原则</w:t>
      </w:r>
      <w:bookmarkEnd w:id="80"/>
      <w:bookmarkEnd w:id="81"/>
      <w:bookmarkEnd w:id="82"/>
    </w:p>
    <w:p>
      <w:pPr>
        <w:ind w:firstLine="560"/>
      </w:pPr>
      <w:r>
        <w:t>根据耒阳市社会经济发展特点，整合土地资源，统筹安排各类、各区域用地，促进城乡协调发展。</w:t>
      </w:r>
    </w:p>
    <w:p>
      <w:pPr>
        <w:pStyle w:val="4"/>
        <w:ind w:firstLine="562"/>
      </w:pPr>
      <w:bookmarkStart w:id="83" w:name="_Toc369857877"/>
      <w:bookmarkStart w:id="84" w:name="_Toc368779878"/>
      <w:bookmarkStart w:id="85" w:name="_Toc443819885"/>
      <w:bookmarkStart w:id="86" w:name="_Toc368773197"/>
      <w:bookmarkStart w:id="87" w:name="_Toc445998223"/>
      <w:bookmarkStart w:id="88" w:name="_Toc445997386"/>
      <w:bookmarkStart w:id="89" w:name="_Toc290847456"/>
      <w:bookmarkStart w:id="90" w:name="_Toc443836890"/>
      <w:bookmarkStart w:id="91" w:name="_Toc443837079"/>
      <w:bookmarkStart w:id="92" w:name="_Toc443940861"/>
      <w:bookmarkStart w:id="93" w:name="_Toc368780026"/>
      <w:bookmarkStart w:id="94" w:name="_Toc455418295"/>
      <w:bookmarkStart w:id="95" w:name="_Toc449211037"/>
      <w:bookmarkStart w:id="96" w:name="_Toc446257137"/>
      <w:r>
        <w:t>四、</w:t>
      </w:r>
      <w:bookmarkEnd w:id="83"/>
      <w:bookmarkEnd w:id="84"/>
      <w:bookmarkEnd w:id="85"/>
      <w:bookmarkEnd w:id="86"/>
      <w:bookmarkEnd w:id="87"/>
      <w:bookmarkEnd w:id="88"/>
      <w:bookmarkEnd w:id="89"/>
      <w:bookmarkEnd w:id="90"/>
      <w:bookmarkEnd w:id="91"/>
      <w:bookmarkEnd w:id="92"/>
      <w:bookmarkEnd w:id="93"/>
      <w:r>
        <w:t>促进生态建设原则</w:t>
      </w:r>
      <w:bookmarkEnd w:id="94"/>
      <w:bookmarkEnd w:id="95"/>
      <w:bookmarkEnd w:id="96"/>
    </w:p>
    <w:p>
      <w:pPr>
        <w:ind w:firstLine="560"/>
      </w:pPr>
      <w:r>
        <w:t>立足构建良好的生态环境，倡导与生态环境建设相协调的土地利用模式，保障土地资源的可持续利用。</w:t>
      </w:r>
    </w:p>
    <w:p>
      <w:pPr>
        <w:pStyle w:val="4"/>
        <w:ind w:firstLine="562"/>
      </w:pPr>
      <w:bookmarkStart w:id="97" w:name="_Toc368773198"/>
      <w:bookmarkStart w:id="98" w:name="_Toc445997387"/>
      <w:bookmarkStart w:id="99" w:name="_Toc445998224"/>
      <w:bookmarkStart w:id="100" w:name="_Toc443837080"/>
      <w:bookmarkStart w:id="101" w:name="_Toc443940862"/>
      <w:bookmarkStart w:id="102" w:name="_Toc443819886"/>
      <w:bookmarkStart w:id="103" w:name="_Toc290847457"/>
      <w:bookmarkStart w:id="104" w:name="_Toc443836891"/>
      <w:bookmarkStart w:id="105" w:name="_Toc368779879"/>
      <w:bookmarkStart w:id="106" w:name="_Toc369857878"/>
      <w:bookmarkStart w:id="107" w:name="_Toc368780027"/>
      <w:bookmarkStart w:id="108" w:name="_Toc446257138"/>
      <w:bookmarkStart w:id="109" w:name="_Toc455418296"/>
      <w:bookmarkStart w:id="110" w:name="_Toc449211038"/>
      <w:r>
        <w:t>五、</w:t>
      </w:r>
      <w:bookmarkEnd w:id="97"/>
      <w:bookmarkEnd w:id="98"/>
      <w:bookmarkEnd w:id="99"/>
      <w:bookmarkEnd w:id="100"/>
      <w:bookmarkEnd w:id="101"/>
      <w:bookmarkEnd w:id="102"/>
      <w:bookmarkEnd w:id="103"/>
      <w:bookmarkEnd w:id="104"/>
      <w:bookmarkEnd w:id="105"/>
      <w:bookmarkEnd w:id="106"/>
      <w:bookmarkEnd w:id="107"/>
      <w:r>
        <w:t>加强宏观调控原则</w:t>
      </w:r>
      <w:bookmarkEnd w:id="108"/>
      <w:bookmarkEnd w:id="109"/>
      <w:bookmarkEnd w:id="110"/>
    </w:p>
    <w:p>
      <w:pPr>
        <w:ind w:firstLine="560"/>
      </w:pPr>
      <w:r>
        <w:t>加强完善规划实施的保障措施，增强土地参与宏观调控的针对性和有效性。</w:t>
      </w:r>
    </w:p>
    <w:p>
      <w:pPr>
        <w:pStyle w:val="4"/>
        <w:ind w:firstLine="562"/>
      </w:pPr>
      <w:r>
        <w:rPr>
          <w:rFonts w:hint="eastAsia"/>
        </w:rPr>
        <w:t>六</w:t>
      </w:r>
      <w:r>
        <w:t>、公众参与原则</w:t>
      </w:r>
    </w:p>
    <w:p>
      <w:pPr>
        <w:ind w:firstLine="560"/>
      </w:pPr>
      <w:r>
        <w:t>规划修改应在相关部门的共同参与下开展，广泛听取社会公众意见，开展风险评估，进行充分的听证、论证、公示，提高规划修改方案的可行性和可操作性。</w:t>
      </w:r>
    </w:p>
    <w:p>
      <w:pPr>
        <w:pStyle w:val="3"/>
        <w:ind w:firstLine="602"/>
      </w:pPr>
      <w:bookmarkStart w:id="111" w:name="_Toc140723989"/>
      <w:bookmarkStart w:id="112" w:name="_Toc137840317"/>
      <w:bookmarkStart w:id="113" w:name="_Toc138390951"/>
      <w:bookmarkStart w:id="114" w:name="_Toc135580784"/>
      <w:bookmarkStart w:id="115" w:name="_Toc141460882"/>
      <w:bookmarkStart w:id="116" w:name="_Toc299993599"/>
      <w:bookmarkStart w:id="117" w:name="_Toc363045956"/>
      <w:bookmarkStart w:id="118" w:name="_Toc368680926"/>
      <w:bookmarkStart w:id="119" w:name="_Toc369769910"/>
      <w:bookmarkStart w:id="120" w:name="_Toc478318434"/>
      <w:bookmarkStart w:id="121" w:name="_Toc479943932"/>
      <w:bookmarkStart w:id="122" w:name="_Toc485040252"/>
      <w:r>
        <w:t xml:space="preserve">第四节 </w:t>
      </w:r>
      <w:r>
        <w:rPr>
          <w:rFonts w:hint="eastAsia"/>
        </w:rPr>
        <w:t xml:space="preserve"> </w:t>
      </w:r>
      <w:r>
        <w:t>规划修改的工作</w:t>
      </w:r>
      <w:bookmarkEnd w:id="111"/>
      <w:bookmarkEnd w:id="112"/>
      <w:bookmarkEnd w:id="113"/>
      <w:bookmarkEnd w:id="114"/>
      <w:bookmarkEnd w:id="115"/>
      <w:bookmarkEnd w:id="116"/>
      <w:r>
        <w:t>过程</w:t>
      </w:r>
      <w:bookmarkEnd w:id="117"/>
      <w:bookmarkEnd w:id="118"/>
      <w:bookmarkEnd w:id="119"/>
      <w:bookmarkEnd w:id="120"/>
      <w:bookmarkEnd w:id="121"/>
      <w:bookmarkEnd w:id="122"/>
    </w:p>
    <w:p>
      <w:pPr>
        <w:pStyle w:val="4"/>
        <w:ind w:firstLine="562"/>
      </w:pPr>
      <w:r>
        <w:t>一、工作准备（2015年8月）</w:t>
      </w:r>
    </w:p>
    <w:p>
      <w:pPr>
        <w:ind w:firstLine="560"/>
      </w:pPr>
      <w:r>
        <w:t>成立以耒阳市人民政府主管领导为组长、有关部门负责人为成员的规划修改工作领导小组，设立领导小组办公室，负责承担规划修改工作中具体组织协调工作，落实工作经费；确定长沙乐源土地规划设计有限责任公司为规划修改技术承担单位，技术承担单位组建由土地资源管理、土地利用规划、城市规划、地理信息系统及计算机制图等专业人员组成的技术小组。</w:t>
      </w:r>
    </w:p>
    <w:p>
      <w:pPr>
        <w:pStyle w:val="4"/>
        <w:ind w:firstLine="562"/>
      </w:pPr>
      <w:r>
        <w:t>二、调查研究（2015年9月</w:t>
      </w:r>
      <w:r>
        <w:rPr>
          <w:rFonts w:hint="eastAsia"/>
        </w:rPr>
        <w:t>—</w:t>
      </w:r>
      <w:r>
        <w:t>2015年10月）</w:t>
      </w:r>
    </w:p>
    <w:p>
      <w:pPr>
        <w:ind w:firstLine="560"/>
      </w:pPr>
      <w:r>
        <w:t>围绕规划实施评估、规划修改工作目标，按工作方案与技术方案的要求，开展自然、经济、社会等状况调查，收集相关资料，系统分析土地利用现状及潜力，全面分析现行规划编制实施的基本情况；实地调查、现场核实需进行规划修改的用地需求。</w:t>
      </w:r>
    </w:p>
    <w:p>
      <w:pPr>
        <w:pStyle w:val="4"/>
        <w:ind w:firstLine="562"/>
      </w:pPr>
      <w:r>
        <w:t>三、规划实施评估（2015年1</w:t>
      </w:r>
      <w:r>
        <w:rPr>
          <w:rFonts w:hint="eastAsia"/>
        </w:rPr>
        <w:t>1</w:t>
      </w:r>
      <w:r>
        <w:t>月</w:t>
      </w:r>
      <w:r>
        <w:rPr>
          <w:rFonts w:hint="eastAsia"/>
        </w:rPr>
        <w:t>—</w:t>
      </w:r>
      <w:r>
        <w:t>201</w:t>
      </w:r>
      <w:r>
        <w:rPr>
          <w:rFonts w:hint="eastAsia"/>
        </w:rPr>
        <w:t>6</w:t>
      </w:r>
      <w:r>
        <w:t>年</w:t>
      </w:r>
      <w:r>
        <w:rPr>
          <w:rFonts w:hint="eastAsia"/>
        </w:rPr>
        <w:t>7</w:t>
      </w:r>
      <w:r>
        <w:t>月）</w:t>
      </w:r>
    </w:p>
    <w:p>
      <w:pPr>
        <w:ind w:firstLine="560"/>
      </w:pPr>
      <w:r>
        <w:t>在开展详细调查和认真研究的基础上，按照国土资厅发[2011]41号文件要求，结合耒阳市的实际情况，编制形成规划实施评估报告。</w:t>
      </w:r>
    </w:p>
    <w:p>
      <w:pPr>
        <w:ind w:firstLine="560"/>
      </w:pPr>
      <w:r>
        <w:t>2015年11月30日，耒阳市人民政府组织市政府办、经开区、发改局、国土资源局、教育局、住建局、环保局、规划局、卫生局、交运局、农业局、公路局、林业局、水务局等相关部门，对《评估报告》进行了审查，并审议通过了《耒阳市土地利用总体规划建设用地指标调整总体方案》和《耒阳市城镇工矿用地剩余指标调整预方案》。</w:t>
      </w:r>
    </w:p>
    <w:p>
      <w:pPr>
        <w:ind w:firstLine="560"/>
      </w:pPr>
      <w:r>
        <w:t>2016年2月11日上午，耒阳市国土资源局组织相关股室负责人组成的评审组，对《评估报告》进行了评审。针对审查会上提出的意见，技术单位对《评估报告》进行了修改完善。</w:t>
      </w:r>
    </w:p>
    <w:p>
      <w:pPr>
        <w:ind w:firstLine="560"/>
        <w:rPr>
          <w:rFonts w:cs="Times New Roman"/>
          <w:szCs w:val="28"/>
        </w:rPr>
      </w:pPr>
      <w:r>
        <w:t>广泛征求有关部门和专家的建议和意见，并根据相关专家建议和意见进行修改，形成《耒阳市土地利用总体规划（2006-2020年）实施评估报告》（送审稿），提交湖南省国土资源厅审查</w:t>
      </w:r>
      <w:r>
        <w:rPr>
          <w:rFonts w:hint="eastAsia"/>
        </w:rPr>
        <w:t>。</w:t>
      </w:r>
      <w:r>
        <w:t>201</w:t>
      </w:r>
      <w:r>
        <w:rPr>
          <w:rFonts w:hint="eastAsia"/>
        </w:rPr>
        <w:t>6</w:t>
      </w:r>
      <w:r>
        <w:t>年</w:t>
      </w:r>
      <w:r>
        <w:rPr>
          <w:rFonts w:hint="eastAsia"/>
        </w:rPr>
        <w:t>4</w:t>
      </w:r>
      <w:r>
        <w:t>月2</w:t>
      </w:r>
      <w:r>
        <w:rPr>
          <w:rFonts w:hint="eastAsia"/>
        </w:rPr>
        <w:t>9</w:t>
      </w:r>
      <w:r>
        <w:t>日，湖南省国土资源厅组织有关专家和处室，对《评估报告》进行评审，会议一致同意该评估报告通过审查，并提出了修改与完善意见。</w:t>
      </w:r>
      <w:r>
        <w:rPr>
          <w:rFonts w:cs="Times New Roman"/>
          <w:szCs w:val="28"/>
        </w:rPr>
        <w:t>2016年7月15日，省国土资源厅（厅长办公）会议暨湖南省土地利用总体规划修改评审委员会第四次全体会议对《实施评估报告》进行了审议，同意耒阳市开展规划调整完善方案的编制。</w:t>
      </w:r>
    </w:p>
    <w:p>
      <w:pPr>
        <w:pStyle w:val="4"/>
        <w:ind w:firstLine="562"/>
      </w:pPr>
      <w:r>
        <w:t>四、</w:t>
      </w:r>
      <w:r>
        <w:rPr>
          <w:rFonts w:hint="eastAsia"/>
        </w:rPr>
        <w:t>市</w:t>
      </w:r>
      <w:r>
        <w:t>级规划修改方案（201</w:t>
      </w:r>
      <w:r>
        <w:rPr>
          <w:rFonts w:hint="eastAsia"/>
        </w:rPr>
        <w:t>6</w:t>
      </w:r>
      <w:r>
        <w:t>年</w:t>
      </w:r>
      <w:r>
        <w:rPr>
          <w:rFonts w:hint="eastAsia"/>
        </w:rPr>
        <w:t>8</w:t>
      </w:r>
      <w:r>
        <w:t>月</w:t>
      </w:r>
      <w:r>
        <w:rPr>
          <w:rFonts w:hint="eastAsia"/>
        </w:rPr>
        <w:t>—</w:t>
      </w:r>
      <w:r>
        <w:t>201</w:t>
      </w:r>
      <w:r>
        <w:rPr>
          <w:rFonts w:hint="eastAsia"/>
        </w:rPr>
        <w:t>7</w:t>
      </w:r>
      <w:r>
        <w:t>年</w:t>
      </w:r>
      <w:r>
        <w:rPr>
          <w:rFonts w:hint="eastAsia"/>
        </w:rPr>
        <w:t>4</w:t>
      </w:r>
      <w:r>
        <w:t>月）</w:t>
      </w:r>
    </w:p>
    <w:p>
      <w:pPr>
        <w:ind w:firstLine="560"/>
      </w:pPr>
      <w:r>
        <w:t>依据湖南省国土资源厅对《耒阳市土地利用总体规划（2006－2020年）实施评估报告》的审查批复，按照耒阳市未来经济社会发展的需要和土地供应潜力综合平衡，形成规划修改方案草稿，征求相关部门意见，对规划修改方案草稿进行初步论证，并根据协调意见对规划修改方案草稿进行修改完善，形成规划修改方案。</w:t>
      </w:r>
    </w:p>
    <w:p>
      <w:pPr>
        <w:ind w:firstLine="560"/>
      </w:pPr>
      <w:r>
        <w:t>2016年12月2日，耒阳市人民政府组织市发改局、规划局、国土资源局、交通运输局、水利局、农业局、林业局、环保局等相关部门，对《耒阳市土地利用总体规划（2006-2020年）（2016年修订版）》（征求意见稿）进行审查。2016年12月2日，市国土局召集相关股室、各乡（镇、街道）及村代表会同技术单位召开了听证会，就调整完善方案征求了各乡镇所涉及村和相关单位意见。根据各乡镇及村民代表提出的意见，技术单位对规划方案进行了修改完善，形成《耒阳市土地利用总体规划（2006-2020年）（2016年修订版）》（送审稿）。</w:t>
      </w:r>
    </w:p>
    <w:p>
      <w:pPr>
        <w:ind w:firstLine="560"/>
      </w:pPr>
      <w:r>
        <w:rPr>
          <w:rFonts w:hint="eastAsia"/>
        </w:rPr>
        <w:t>2016年12月</w:t>
      </w:r>
      <w:r>
        <w:rPr>
          <w:rFonts w:hint="eastAsia" w:cs="Times New Roman"/>
          <w:szCs w:val="28"/>
        </w:rPr>
        <w:t>30日</w:t>
      </w:r>
      <w:r>
        <w:rPr>
          <w:rFonts w:hint="eastAsia"/>
        </w:rPr>
        <w:t>，</w:t>
      </w:r>
      <w:r>
        <w:t>湖南省国土资源厅组织专家和相关厅局对《</w:t>
      </w:r>
      <w:r>
        <w:rPr>
          <w:rFonts w:hint="eastAsia"/>
        </w:rPr>
        <w:t>耒阳市</w:t>
      </w:r>
      <w:r>
        <w:t>土地利用总体规划（2006-2020年）》（2016年修订版）</w:t>
      </w:r>
      <w:r>
        <w:rPr>
          <w:rFonts w:hint="eastAsia"/>
        </w:rPr>
        <w:t>进行了审查。</w:t>
      </w:r>
      <w:r>
        <w:t>技术单位根据审查意见进行修改完善，形成规划修改方案最终成果。按法定程序，报湖南省人民政府审批。</w:t>
      </w:r>
    </w:p>
    <w:p>
      <w:pPr>
        <w:ind w:firstLine="560"/>
      </w:pPr>
      <w:r>
        <w:t>201</w:t>
      </w:r>
      <w:r>
        <w:rPr>
          <w:rFonts w:hint="eastAsia"/>
        </w:rPr>
        <w:t>7年5月11日，《耒阳市土地利用总体规划（</w:t>
      </w:r>
      <w:r>
        <w:t>2006-2020</w:t>
      </w:r>
      <w:r>
        <w:rPr>
          <w:rFonts w:hint="eastAsia"/>
        </w:rPr>
        <w:t>年）》（</w:t>
      </w:r>
      <w:r>
        <w:t>201</w:t>
      </w:r>
      <w:r>
        <w:rPr>
          <w:rFonts w:hint="eastAsia"/>
        </w:rPr>
        <w:t>6年修订版）经湖南省人民政府（湘政办函〔</w:t>
      </w:r>
      <w:r>
        <w:t>201</w:t>
      </w:r>
      <w:r>
        <w:rPr>
          <w:rFonts w:hint="eastAsia"/>
        </w:rPr>
        <w:t>7〕47号）批准后正式实施。</w:t>
      </w:r>
    </w:p>
    <w:p>
      <w:pPr>
        <w:pStyle w:val="4"/>
        <w:ind w:firstLine="562"/>
      </w:pPr>
      <w:r>
        <w:rPr>
          <w:rFonts w:hint="eastAsia"/>
        </w:rPr>
        <w:t>五、乡镇规划调整完善方案编制（2017年4月—6月）</w:t>
      </w:r>
    </w:p>
    <w:p>
      <w:pPr>
        <w:ind w:firstLine="560"/>
      </w:pPr>
      <w:r>
        <w:rPr>
          <w:rFonts w:hint="eastAsia"/>
        </w:rPr>
        <w:t>根据</w:t>
      </w:r>
      <w:r>
        <w:t>《</w:t>
      </w:r>
      <w:r>
        <w:rPr>
          <w:rFonts w:hint="eastAsia"/>
        </w:rPr>
        <w:t>耒阳市</w:t>
      </w:r>
      <w:r>
        <w:t>土地利用总体规划（2006-2020年）》（2016年修订版）</w:t>
      </w:r>
      <w:r>
        <w:rPr>
          <w:rFonts w:hint="eastAsia"/>
        </w:rPr>
        <w:t>、各乡（镇）“十三五”发展规划等要求，编制各乡（镇）土地利用总体规划调整完善方案，行成《</w:t>
      </w:r>
      <w:r>
        <w:t>耒阳市</w:t>
      </w:r>
      <w:r>
        <w:rPr>
          <w:rFonts w:hint="eastAsia"/>
        </w:rPr>
        <w:t>新市</w:t>
      </w:r>
      <w:r>
        <w:t>镇等</w:t>
      </w:r>
      <w:r>
        <w:rPr>
          <w:rFonts w:hint="eastAsia"/>
        </w:rPr>
        <w:t>24个乡级土地利用总体</w:t>
      </w:r>
      <w:r>
        <w:t>规划</w:t>
      </w:r>
      <w:r>
        <w:rPr>
          <w:rFonts w:hint="eastAsia"/>
        </w:rPr>
        <w:t>（2006-2020年）2016年调整</w:t>
      </w:r>
      <w:r>
        <w:t>完善方案</w:t>
      </w:r>
      <w:r>
        <w:rPr>
          <w:rFonts w:hint="eastAsia"/>
        </w:rPr>
        <w:t>》（征求</w:t>
      </w:r>
      <w:r>
        <w:t>意见稿</w:t>
      </w:r>
      <w:r>
        <w:rPr>
          <w:rFonts w:hint="eastAsia"/>
        </w:rPr>
        <w:t>）。耒阳市国土资源局组织各部门对乡镇规划调整完善方案（征求意见稿）进行审查，同时组织各乡镇代表对乡镇规划调整完善方案（征求意见稿）进行公开听证，听取各界意见与建议。</w:t>
      </w:r>
      <w:r>
        <w:t>技术单位根据各部门审查意见与听证代表意见，对规划修改方案进行完善，形成</w:t>
      </w:r>
      <w:r>
        <w:rPr>
          <w:rFonts w:hint="eastAsia"/>
        </w:rPr>
        <w:t>《</w:t>
      </w:r>
      <w:r>
        <w:t>耒阳市</w:t>
      </w:r>
      <w:r>
        <w:rPr>
          <w:rFonts w:hint="eastAsia"/>
        </w:rPr>
        <w:t>新市</w:t>
      </w:r>
      <w:r>
        <w:t>镇等</w:t>
      </w:r>
      <w:r>
        <w:rPr>
          <w:rFonts w:hint="eastAsia"/>
        </w:rPr>
        <w:t>24个乡级土地利用总体</w:t>
      </w:r>
      <w:r>
        <w:t>规划</w:t>
      </w:r>
      <w:r>
        <w:rPr>
          <w:rFonts w:hint="eastAsia"/>
        </w:rPr>
        <w:t>（2006-2020年）2016年调整</w:t>
      </w:r>
      <w:r>
        <w:t>完善方案</w:t>
      </w:r>
      <w:r>
        <w:rPr>
          <w:rFonts w:hint="eastAsia"/>
        </w:rPr>
        <w:t>》（</w:t>
      </w:r>
      <w:r>
        <w:t>送审稿</w:t>
      </w:r>
      <w:r>
        <w:rPr>
          <w:rFonts w:hint="eastAsia"/>
        </w:rPr>
        <w:t>）。</w:t>
      </w:r>
    </w:p>
    <w:p>
      <w:pPr>
        <w:ind w:firstLine="560"/>
      </w:pPr>
      <w:r>
        <w:rPr>
          <w:rFonts w:hint="eastAsia"/>
        </w:rPr>
        <w:t>2017年6月，衡阳市</w:t>
      </w:r>
      <w:r>
        <w:t>国土资源厅组织专家和相关部门对</w:t>
      </w:r>
      <w:r>
        <w:rPr>
          <w:rFonts w:hint="eastAsia"/>
        </w:rPr>
        <w:t>《</w:t>
      </w:r>
      <w:r>
        <w:t>耒阳市</w:t>
      </w:r>
      <w:r>
        <w:rPr>
          <w:rFonts w:hint="eastAsia"/>
        </w:rPr>
        <w:t>新市</w:t>
      </w:r>
      <w:r>
        <w:t>镇等</w:t>
      </w:r>
      <w:r>
        <w:rPr>
          <w:rFonts w:hint="eastAsia"/>
        </w:rPr>
        <w:t>24个乡级土地利用总体</w:t>
      </w:r>
      <w:r>
        <w:t>规划</w:t>
      </w:r>
      <w:r>
        <w:rPr>
          <w:rFonts w:hint="eastAsia"/>
        </w:rPr>
        <w:t>（2006-2020年）2016年调整</w:t>
      </w:r>
      <w:r>
        <w:t>完善方案</w:t>
      </w:r>
      <w:r>
        <w:rPr>
          <w:rFonts w:hint="eastAsia"/>
        </w:rPr>
        <w:t>》（</w:t>
      </w:r>
      <w:r>
        <w:t>送审稿</w:t>
      </w:r>
      <w:r>
        <w:rPr>
          <w:rFonts w:hint="eastAsia"/>
        </w:rPr>
        <w:t>）</w:t>
      </w:r>
      <w:r>
        <w:t>进行审查，技术单位根据审查意见进行修改完善，形成规划修改方案最终成果。技术单位根据审查通过的规划修改方案，形成《耒阳市</w:t>
      </w:r>
      <w:r>
        <w:rPr>
          <w:rFonts w:hint="eastAsia"/>
        </w:rPr>
        <w:t>新市</w:t>
      </w:r>
      <w:r>
        <w:t>镇等</w:t>
      </w:r>
      <w:r>
        <w:rPr>
          <w:rFonts w:hint="eastAsia"/>
        </w:rPr>
        <w:t>24个乡级土地利用总体</w:t>
      </w:r>
      <w:r>
        <w:t>规划</w:t>
      </w:r>
      <w:r>
        <w:rPr>
          <w:rFonts w:hint="eastAsia"/>
        </w:rPr>
        <w:t>（2006-2020年）2016年调整</w:t>
      </w:r>
      <w:r>
        <w:t>完善方案》，按法定程序，《耒阳市</w:t>
      </w:r>
      <w:r>
        <w:rPr>
          <w:rFonts w:hint="eastAsia"/>
        </w:rPr>
        <w:t>新市</w:t>
      </w:r>
      <w:r>
        <w:t>镇等</w:t>
      </w:r>
      <w:r>
        <w:rPr>
          <w:rFonts w:hint="eastAsia"/>
        </w:rPr>
        <w:t>24个乡级土地利用总体</w:t>
      </w:r>
      <w:r>
        <w:t>规划</w:t>
      </w:r>
      <w:r>
        <w:rPr>
          <w:rFonts w:hint="eastAsia"/>
        </w:rPr>
        <w:t>（2006-2020年）2016年调整</w:t>
      </w:r>
      <w:r>
        <w:t>完善方案》报</w:t>
      </w:r>
      <w:r>
        <w:rPr>
          <w:rFonts w:hint="eastAsia"/>
        </w:rPr>
        <w:t>衡阳市</w:t>
      </w:r>
      <w:r>
        <w:t>人民政府审批。</w:t>
      </w:r>
    </w:p>
    <w:p>
      <w:pPr>
        <w:pStyle w:val="4"/>
        <w:ind w:firstLine="562"/>
      </w:pPr>
      <w:r>
        <w:rPr>
          <w:rFonts w:hint="eastAsia"/>
        </w:rPr>
        <w:t>六、耒阳市乡镇级土地利用总体规划数据库（2017年6月）</w:t>
      </w:r>
    </w:p>
    <w:p>
      <w:pPr>
        <w:ind w:firstLine="560"/>
      </w:pPr>
      <w:r>
        <w:rPr>
          <w:rFonts w:hint="eastAsia"/>
        </w:rPr>
        <w:t>2017年6月，根据湖南省人民政府、衡阳</w:t>
      </w:r>
      <w:r>
        <w:t>市人民政府的审批结果</w:t>
      </w:r>
      <w:r>
        <w:rPr>
          <w:rFonts w:hint="eastAsia"/>
        </w:rPr>
        <w:t>，</w:t>
      </w:r>
      <w:r>
        <w:t>按照有关要求</w:t>
      </w:r>
      <w:r>
        <w:rPr>
          <w:rFonts w:hint="eastAsia"/>
        </w:rPr>
        <w:t>，</w:t>
      </w:r>
      <w:r>
        <w:t>形成耒阳市乡镇级土地利用总体规划数据库</w:t>
      </w:r>
      <w:r>
        <w:rPr>
          <w:rFonts w:hint="eastAsia"/>
        </w:rPr>
        <w:t>。</w:t>
      </w:r>
    </w:p>
    <w:p>
      <w:pPr>
        <w:pStyle w:val="3"/>
        <w:ind w:firstLine="602"/>
      </w:pPr>
      <w:bookmarkStart w:id="123" w:name="_Toc347987867"/>
      <w:bookmarkStart w:id="124" w:name="_Toc369769911"/>
      <w:bookmarkStart w:id="125" w:name="_Toc363045957"/>
      <w:bookmarkStart w:id="126" w:name="_Toc368680927"/>
      <w:bookmarkStart w:id="127" w:name="_Toc485040253"/>
      <w:bookmarkStart w:id="128" w:name="_Toc478318435"/>
      <w:bookmarkStart w:id="129" w:name="_Toc479943933"/>
      <w:bookmarkStart w:id="130" w:name="_Toc299993602"/>
      <w:bookmarkStart w:id="131" w:name="_Toc299181915"/>
      <w:r>
        <w:t xml:space="preserve">第五节 </w:t>
      </w:r>
      <w:r>
        <w:rPr>
          <w:rFonts w:hint="eastAsia"/>
        </w:rPr>
        <w:t xml:space="preserve"> </w:t>
      </w:r>
      <w:r>
        <w:t>规划修改范围与期限</w:t>
      </w:r>
      <w:bookmarkEnd w:id="123"/>
      <w:bookmarkEnd w:id="124"/>
      <w:bookmarkEnd w:id="125"/>
      <w:bookmarkEnd w:id="126"/>
      <w:bookmarkEnd w:id="127"/>
      <w:bookmarkEnd w:id="128"/>
      <w:bookmarkEnd w:id="129"/>
    </w:p>
    <w:p>
      <w:pPr>
        <w:ind w:firstLine="560"/>
      </w:pPr>
      <w:bookmarkStart w:id="132" w:name="_Toc369769912"/>
      <w:bookmarkStart w:id="133" w:name="_Toc363045958"/>
      <w:bookmarkStart w:id="134" w:name="_Toc368680928"/>
      <w:r>
        <w:t>本次规划修改涉及耒阳市各乡镇所辖全部土地，土地总面积</w:t>
      </w:r>
      <w:r>
        <w:rPr>
          <w:rFonts w:hint="eastAsia"/>
        </w:rPr>
        <w:t>224373.58</w:t>
      </w:r>
      <w:r>
        <w:t>公顷，包括</w:t>
      </w:r>
      <w:r>
        <w:rPr>
          <w:rFonts w:hint="eastAsia"/>
        </w:rPr>
        <w:t>19个镇、5</w:t>
      </w:r>
      <w:r>
        <w:t>个乡；规划基期年为2005年，规划修改年为2014年，目标年为2020年，规划期限为2006-2020年。</w:t>
      </w:r>
    </w:p>
    <w:p>
      <w:pPr>
        <w:pStyle w:val="3"/>
        <w:ind w:firstLine="602"/>
      </w:pPr>
      <w:bookmarkStart w:id="135" w:name="_Toc479943934"/>
      <w:bookmarkStart w:id="136" w:name="_Toc478318436"/>
      <w:bookmarkStart w:id="137" w:name="_Toc485040254"/>
      <w:r>
        <w:t xml:space="preserve">第六节 </w:t>
      </w:r>
      <w:r>
        <w:rPr>
          <w:rFonts w:hint="eastAsia"/>
        </w:rPr>
        <w:t xml:space="preserve"> </w:t>
      </w:r>
      <w:r>
        <w:t>规划修改基础数据</w:t>
      </w:r>
      <w:bookmarkEnd w:id="130"/>
      <w:bookmarkEnd w:id="131"/>
      <w:bookmarkEnd w:id="132"/>
      <w:bookmarkEnd w:id="133"/>
      <w:bookmarkEnd w:id="134"/>
      <w:bookmarkEnd w:id="135"/>
      <w:bookmarkEnd w:id="136"/>
      <w:bookmarkEnd w:id="137"/>
    </w:p>
    <w:p>
      <w:pPr>
        <w:pStyle w:val="4"/>
        <w:ind w:firstLine="562"/>
      </w:pPr>
      <w:bookmarkStart w:id="138" w:name="_Toc257307822"/>
      <w:bookmarkStart w:id="139" w:name="_Toc299993603"/>
      <w:bookmarkStart w:id="140" w:name="_Toc234920826"/>
      <w:bookmarkStart w:id="141" w:name="_Toc183251529"/>
      <w:r>
        <w:t>一、土地利用数据</w:t>
      </w:r>
      <w:bookmarkEnd w:id="138"/>
      <w:bookmarkEnd w:id="139"/>
      <w:bookmarkEnd w:id="140"/>
      <w:bookmarkEnd w:id="141"/>
    </w:p>
    <w:p>
      <w:pPr>
        <w:ind w:firstLine="560"/>
      </w:pPr>
      <w:r>
        <w:t>本次规划修改采用的2005年土地利用现状数据以根据国土资源部检查意见修改后的耒阳市第二次土地调查标准时点统一更新数据为基础，并按照《国土资源部办公厅关于印发&lt;市县乡（镇）土地利用总体规划编制指导意见&gt;的通知》（国土资厅发[2009]51号）要求，对标准时点统一更新数据进行转换，然后根据2006-2009年各类用地增减变化情况，由2009年12月31日变更到2005年12月31日而得到。2014年土地利用现状数据采用报经国土资源部审核的2014年土地利用现状变更调查数据库数据。原规划控制指标数据采用报国土资源部和省国土资源厅备案的耒阳市乡镇土地利用总体规划数据库导出数据。</w:t>
      </w:r>
    </w:p>
    <w:p>
      <w:pPr>
        <w:pStyle w:val="4"/>
        <w:ind w:firstLine="562"/>
      </w:pPr>
      <w:bookmarkStart w:id="142" w:name="_Toc257307824"/>
      <w:bookmarkStart w:id="143" w:name="_Toc299993604"/>
      <w:bookmarkStart w:id="144" w:name="_Toc234920828"/>
      <w:bookmarkStart w:id="145" w:name="_Toc183251531"/>
      <w:r>
        <w:t>二、其他数据</w:t>
      </w:r>
      <w:bookmarkEnd w:id="142"/>
      <w:bookmarkEnd w:id="143"/>
      <w:bookmarkEnd w:id="144"/>
      <w:bookmarkEnd w:id="145"/>
    </w:p>
    <w:p>
      <w:pPr>
        <w:ind w:firstLine="560"/>
      </w:pPr>
      <w:r>
        <w:t>经济社会发展数据采用统计年鉴数据，其他数据采用主管部门或权威机构确认的数据。</w:t>
      </w:r>
    </w:p>
    <w:p>
      <w:pPr>
        <w:pStyle w:val="3"/>
        <w:ind w:firstLine="602"/>
      </w:pPr>
      <w:bookmarkStart w:id="146" w:name="_Toc479943935"/>
      <w:bookmarkStart w:id="147" w:name="_Toc485040255"/>
      <w:bookmarkStart w:id="148" w:name="_Toc478318437"/>
      <w:r>
        <w:t xml:space="preserve">第七节 </w:t>
      </w:r>
      <w:r>
        <w:rPr>
          <w:rFonts w:hint="eastAsia"/>
        </w:rPr>
        <w:t xml:space="preserve"> </w:t>
      </w:r>
      <w:r>
        <w:t>规划修改主要成果</w:t>
      </w:r>
      <w:bookmarkEnd w:id="146"/>
      <w:bookmarkEnd w:id="147"/>
      <w:bookmarkEnd w:id="148"/>
    </w:p>
    <w:p>
      <w:pPr>
        <w:ind w:firstLine="560"/>
      </w:pPr>
      <w:r>
        <w:rPr>
          <w:szCs w:val="28"/>
        </w:rPr>
        <w:t>规</w:t>
      </w:r>
      <w:r>
        <w:t>划修改成果主要包括：规划说明、</w:t>
      </w:r>
      <w:r>
        <w:rPr>
          <w:rFonts w:hint="eastAsia"/>
        </w:rPr>
        <w:t>各乡镇调整完善方案及</w:t>
      </w:r>
      <w:r>
        <w:t>图件等。</w:t>
      </w:r>
    </w:p>
    <w:p>
      <w:pPr>
        <w:pStyle w:val="2"/>
      </w:pPr>
      <w:bookmarkStart w:id="149" w:name="_Toc479943936"/>
      <w:bookmarkStart w:id="150" w:name="_Toc485040256"/>
      <w:r>
        <w:rPr>
          <w:rFonts w:hint="eastAsia"/>
        </w:rPr>
        <w:t>第三章  行政区划调整情况</w:t>
      </w:r>
      <w:bookmarkEnd w:id="149"/>
      <w:bookmarkEnd w:id="150"/>
    </w:p>
    <w:p>
      <w:pPr>
        <w:pStyle w:val="3"/>
        <w:ind w:firstLine="602"/>
      </w:pPr>
      <w:bookmarkStart w:id="151" w:name="_Toc485040257"/>
      <w:bookmarkStart w:id="152" w:name="_Toc479943937"/>
      <w:r>
        <w:rPr>
          <w:rFonts w:hint="eastAsia"/>
        </w:rPr>
        <w:t xml:space="preserve">第一节  </w:t>
      </w:r>
      <w:r>
        <w:t>耒阳市行政区划调整概况</w:t>
      </w:r>
      <w:bookmarkEnd w:id="151"/>
      <w:bookmarkEnd w:id="152"/>
    </w:p>
    <w:p>
      <w:pPr>
        <w:ind w:firstLine="560"/>
      </w:pPr>
      <w:r>
        <w:rPr>
          <w:rFonts w:hint="eastAsia"/>
        </w:rPr>
        <w:t>2016年，耒阳市</w:t>
      </w:r>
      <w:r>
        <w:t>乡镇行政区划调整后，全</w:t>
      </w:r>
      <w:r>
        <w:rPr>
          <w:rFonts w:hint="eastAsia"/>
        </w:rPr>
        <w:t>市</w:t>
      </w:r>
      <w:r>
        <w:t>减少</w:t>
      </w:r>
      <w:r>
        <w:rPr>
          <w:rFonts w:hint="eastAsia"/>
        </w:rPr>
        <w:t>7</w:t>
      </w:r>
      <w:r>
        <w:t>个乡级建制，现辖</w:t>
      </w:r>
      <w:r>
        <w:rPr>
          <w:rFonts w:hint="eastAsia"/>
        </w:rPr>
        <w:t>蔡子池、灶市、水东江、五里牌、三架、余庆6个街道；新市、遥田、夏塘、南阳、公平圩、黄市、小水、哲桥、三都、永济、龙塘、大市、淝田、南京、仁义、导子、马水、东湖圩、大义19个镇；大和圩、坛下、长坪、太平圩、亮源5个乡。市</w:t>
      </w:r>
      <w:r>
        <w:t>人民政府驻地不变（</w:t>
      </w:r>
      <w:r>
        <w:rPr>
          <w:rFonts w:hint="eastAsia"/>
        </w:rPr>
        <w:t>蔡子池街道</w:t>
      </w:r>
      <w:r>
        <w:t>）。</w:t>
      </w:r>
    </w:p>
    <w:p>
      <w:pPr>
        <w:ind w:firstLine="560"/>
      </w:pPr>
      <w:r>
        <w:t>其中</w:t>
      </w:r>
      <w:r>
        <w:rPr>
          <w:rFonts w:hint="eastAsia"/>
        </w:rPr>
        <w:t>，撤销泗门洲、竹市2个建制镇，将这2个建制镇的行政区域调整划入水东江、灶市街2个街道，调整后的水东江街道辖双洲、内洲、花桥、长胜、大塘角、石下、新联、石梓、毛田、新塘、金钩、东湾、东塘、阳光、大成、东口、里王、庙背、竹市、白石20个建制村，新和、鹿岐、东鹿、东江、桥头、鹿峰、竹市、白山坪8个社区居委会，总面积113.14平方千米，总人口7.82万人，办事处驻南王岭（原水东江街道办事处驻地）；灶市街街道辖花石、易成、滩洲、江冲、泗门、五陵、新坡、集中、楼下、王差、农科、新渡、泥塘、白沙、王子15个建制村，天桥、彭桥、车站、铁路园、联平、零洲、沙头、灶市、泗门洲、红卫10个社区居委会，总面积79.41平方千米，总人口7.32万人，办事处驻灶市街（原灶市街街道办事处驻地）。</w:t>
      </w:r>
    </w:p>
    <w:p>
      <w:pPr>
        <w:ind w:firstLine="560"/>
      </w:pPr>
      <w:r>
        <w:rPr>
          <w:rFonts w:hint="eastAsia"/>
        </w:rPr>
        <w:t>将余庆、磨形2个乡以及三顺街道成建制合并，设立余庆街道。调整后的余庆街道辖渔波、西元、观前、新田、栗梓、板陂、南桥、石王、盖塘、枞杨树、梓元、同仁、栗树、东冲、农科（原余庆乡）、龙陂、余冲、五村、枫林寺、打鼓洲、黄金、磨形、青陂、黄沙、农科（原磨形乡）、杨丰、三泉、西冲、虾塘、丛苞、水口、石余32个建制村，南岭、三顺、余庆3个社区居委会，总面积129.73平方千米，总人口8.02万人，办事处驻余庆圩（原余庆乡人民政府驻地）。五里牌街道辖梅新、上岭、火田3个建制村，栖凤园、金星、金杯、五里牌、锡里5个社区居委会，总面积24.33平方千米，总人口4.55万人，办事处驻地不变。</w:t>
      </w:r>
    </w:p>
    <w:p>
      <w:pPr>
        <w:ind w:firstLine="560"/>
      </w:pPr>
      <w:r>
        <w:rPr>
          <w:rFonts w:hint="eastAsia"/>
        </w:rPr>
        <w:t>将沙明乡与导子乡成建制合并设立导子镇。新设立的导子镇辖竹楼、中山坪、通林、洞中、导子、双喜、楼下、上古、农科、紫江、扶冲、上浔、柳山、南湾、双攸、浔江、曹流、流天、横塘、雄江、董溪、群联、沙明、邓山、和平、畔冲、三岭、高峰28个建制村，导子洲社区居委会，总面积137.3平方千米，总人口4.11万人，镇人民政府驻导子洲（原导子乡人民政府驻地）。</w:t>
      </w:r>
    </w:p>
    <w:p>
      <w:pPr>
        <w:ind w:firstLine="560"/>
      </w:pPr>
      <w:r>
        <w:rPr>
          <w:rFonts w:hint="eastAsia"/>
        </w:rPr>
        <w:t>将洲陂乡与马水乡成建制合并设立马水镇。新设立的马水镇辖桃花、湖德、滩头、丹田、上丹田、积岭、小芬、山岭、矮岭、山田、货塘、贺家洞、坪田、东升、堰新、圳边、桥头、小河田、合江、马一、洲陂、膳田、沅江、东南、江塘、石洞江、泉边、陆新、乐田、燕中、青绿、高升32个建制村，总面积170.01平方千米，总人口5.34万人，镇人民政府驻湖德（原马水乡人民政府驻地）。</w:t>
      </w:r>
    </w:p>
    <w:p>
      <w:pPr>
        <w:ind w:firstLine="520"/>
        <w:rPr>
          <w:color w:val="000000"/>
          <w:sz w:val="26"/>
          <w:szCs w:val="26"/>
        </w:rPr>
      </w:pPr>
      <w:r>
        <w:rPr>
          <w:rFonts w:hint="eastAsia"/>
          <w:color w:val="000000"/>
          <w:sz w:val="26"/>
          <w:szCs w:val="26"/>
        </w:rPr>
        <w:t>将上架乡与三都镇成建制合并设立三都镇。新设立的三都镇辖马坑、上山田、泰山背、高灯、东元、东冲、明冲、高龙、金池、三都、竹山、坪州、双红、板桥、干田洞、洪塘、大木、石准、圩冲、南庄、水口、银子冲、早禾田、下庄、架木、上湾、界冲、珊钿、流塘、南基、上架、古楼、三江、东畔、下石镜、丛木塘、文冲等37个建制村，牛脑头社区居委会，总面积117.84平方千米，总人口5.73万人，镇人民政府驻牛脑头（原三都镇人民政府驻地）。</w:t>
      </w:r>
    </w:p>
    <w:p>
      <w:pPr>
        <w:ind w:firstLine="520"/>
        <w:rPr>
          <w:color w:val="000000"/>
          <w:sz w:val="26"/>
          <w:szCs w:val="26"/>
        </w:rPr>
      </w:pPr>
      <w:r>
        <w:rPr>
          <w:rFonts w:hint="eastAsia"/>
          <w:color w:val="000000"/>
          <w:sz w:val="26"/>
          <w:szCs w:val="26"/>
        </w:rPr>
        <w:t>撤销东湖圩乡建制，设东湖圩镇，其行政区域为原东湖圩乡的行政区域。新设立的东湖圩镇辖株山、龙山、枣山、金盆、太坪、上石、泉岭、坳山、小山、湖塘、山田、北龙、农科、枫林、大桥、上中、小塘、观音阁、汤泉、石堰、小田、玄芝22个建制村，东湖圩社区居委会，总面积126.59平方千米，总人口4.40万人，镇人民政府驻坳山（原东湖圩乡人民政府驻地）。</w:t>
      </w:r>
    </w:p>
    <w:p>
      <w:pPr>
        <w:ind w:firstLine="520"/>
        <w:rPr>
          <w:color w:val="000000"/>
          <w:sz w:val="26"/>
          <w:szCs w:val="26"/>
        </w:rPr>
      </w:pPr>
      <w:r>
        <w:rPr>
          <w:rFonts w:hint="eastAsia"/>
          <w:color w:val="000000"/>
          <w:sz w:val="26"/>
          <w:szCs w:val="26"/>
        </w:rPr>
        <w:t>撤销大义乡建制，设大义镇，其行政区域为原大义乡的行政区域。新设立的大义镇辖大义圩、洲上、龙湾、巩固桥、泥丰、古塘、古城、兴隆、苏银楼、尧隆、白云、新村、石准、上石、石正、船江、淝塘、石江、石联、鱼石、泥湾、红联、东坪、陶洲、滩龙、红泉、合建、红泉下、谭家湾29个建制村，总面积104.36平方千米，总人口3.96万人，镇人民政府驻大义圩（原大义乡人民政府驻地）。</w:t>
      </w:r>
    </w:p>
    <w:p>
      <w:pPr>
        <w:ind w:firstLine="520"/>
      </w:pPr>
      <w:r>
        <w:rPr>
          <w:rFonts w:hint="eastAsia"/>
          <w:color w:val="000000"/>
          <w:sz w:val="26"/>
          <w:szCs w:val="26"/>
        </w:rPr>
        <w:t>大和圩、坛下、长坪、太平圩、亮源5个乡，新市、遥田、夏塘、南阳、公平圩、黄市、小水、哲桥、永济、龙塘、大市、淝田、南京、仁义14个镇，蔡子池、三架2个街道的行政区域（管辖范围）和乡镇人民政府（办事处）驻地不作调整。</w:t>
      </w:r>
    </w:p>
    <w:p>
      <w:pPr>
        <w:pStyle w:val="3"/>
        <w:ind w:firstLine="602"/>
      </w:pPr>
      <w:bookmarkStart w:id="153" w:name="_Toc479943938"/>
      <w:bookmarkStart w:id="154" w:name="_Toc485040258"/>
      <w:r>
        <w:rPr>
          <w:rFonts w:hint="eastAsia"/>
        </w:rPr>
        <w:t>第二节  建制村合并</w:t>
      </w:r>
      <w:r>
        <w:t>调整</w:t>
      </w:r>
      <w:r>
        <w:rPr>
          <w:rFonts w:hint="eastAsia"/>
        </w:rPr>
        <w:t>情况</w:t>
      </w:r>
      <w:bookmarkEnd w:id="153"/>
      <w:bookmarkEnd w:id="154"/>
    </w:p>
    <w:p>
      <w:pPr>
        <w:ind w:firstLine="560"/>
      </w:pPr>
      <w:r>
        <w:t>根据《中共湖南省委湖南省人民政府关于开展乡镇区划调整改革工作的意见》(湘发〔2015〕15号)、《湖南省乡镇区划调整改革领导小组关于切实做好建制村合并工作的通知》(湘区改发〔2016〕2号)等文件精神，</w:t>
      </w:r>
      <w:r>
        <w:rPr>
          <w:rFonts w:hint="eastAsia"/>
        </w:rPr>
        <w:t>2016年2月，耒阳市完成了建制村合并工作，全市</w:t>
      </w:r>
      <w:r>
        <w:t>合并建制村</w:t>
      </w:r>
      <w:r>
        <w:rPr>
          <w:rFonts w:hint="eastAsia"/>
        </w:rPr>
        <w:t>301</w:t>
      </w:r>
      <w:r>
        <w:t>个。合并后全</w:t>
      </w:r>
      <w:r>
        <w:rPr>
          <w:rFonts w:hint="eastAsia"/>
        </w:rPr>
        <w:t>市</w:t>
      </w:r>
      <w:r>
        <w:t>建制村总数由</w:t>
      </w:r>
      <w:r>
        <w:rPr>
          <w:rFonts w:hint="eastAsia"/>
        </w:rPr>
        <w:t>679</w:t>
      </w:r>
      <w:r>
        <w:t>个缩减为</w:t>
      </w:r>
      <w:r>
        <w:rPr>
          <w:rFonts w:hint="eastAsia"/>
        </w:rPr>
        <w:t>378</w:t>
      </w:r>
      <w:r>
        <w:t>个，减幅</w:t>
      </w:r>
      <w:r>
        <w:rPr>
          <w:rFonts w:hint="eastAsia"/>
        </w:rPr>
        <w:t>44.33</w:t>
      </w:r>
      <w:r>
        <w:t>%</w:t>
      </w:r>
      <w:r>
        <w:rPr>
          <w:rFonts w:hint="eastAsia"/>
        </w:rPr>
        <w:t>，</w:t>
      </w:r>
      <w:r>
        <w:t>具体见附表。</w:t>
      </w: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pStyle w:val="2"/>
      </w:pPr>
      <w:bookmarkStart w:id="155" w:name="_Toc479943939"/>
      <w:bookmarkStart w:id="156" w:name="_Toc485040259"/>
      <w:r>
        <w:rPr>
          <w:rFonts w:hint="eastAsia"/>
        </w:rPr>
        <w:t>第四章  规划指标分解</w:t>
      </w:r>
      <w:bookmarkEnd w:id="155"/>
      <w:bookmarkEnd w:id="156"/>
    </w:p>
    <w:p>
      <w:pPr>
        <w:pStyle w:val="3"/>
        <w:ind w:firstLine="602"/>
      </w:pPr>
      <w:bookmarkStart w:id="157" w:name="_Toc485040260"/>
      <w:bookmarkStart w:id="158" w:name="_Toc479943940"/>
      <w:r>
        <w:rPr>
          <w:rFonts w:hint="eastAsia"/>
        </w:rPr>
        <w:t>第一节  规划控制指标分解原则与依据</w:t>
      </w:r>
      <w:bookmarkEnd w:id="157"/>
      <w:bookmarkEnd w:id="158"/>
    </w:p>
    <w:p>
      <w:pPr>
        <w:pStyle w:val="4"/>
        <w:ind w:firstLine="562"/>
      </w:pPr>
      <w:r>
        <w:rPr>
          <w:rFonts w:hint="eastAsia"/>
        </w:rPr>
        <w:t>一、规划控制指标分解原则</w:t>
      </w:r>
    </w:p>
    <w:p>
      <w:pPr>
        <w:pStyle w:val="4"/>
        <w:ind w:firstLine="562"/>
      </w:pPr>
      <w:r>
        <w:rPr>
          <w:rFonts w:hint="eastAsia"/>
        </w:rPr>
        <w:t>1、规划指标与社会经济发展要求相协调</w:t>
      </w:r>
    </w:p>
    <w:p>
      <w:pPr>
        <w:ind w:firstLine="560"/>
      </w:pPr>
      <w:r>
        <w:rPr>
          <w:rFonts w:hint="eastAsia"/>
        </w:rPr>
        <w:t>土地利用规划的根本目的是为国民经济和社会发展提供土地保障，土地利用的总体安排要与市、乡两级政府对“十三五”期间国民经济和社会发展的总体思路相协调，各项用地指标的具体安排应与各相关部门、行业发展规划相衔接，根据国民经济发展计划和部门、行业发展规划对土地利用的需求来安排土地利用规划指标。</w:t>
      </w:r>
    </w:p>
    <w:p>
      <w:pPr>
        <w:pStyle w:val="4"/>
        <w:ind w:firstLine="562"/>
      </w:pPr>
      <w:r>
        <w:rPr>
          <w:rFonts w:hint="eastAsia"/>
        </w:rPr>
        <w:t>2、兼顾现行规划修改前指标安排情况、历年用地水平和规划发展需求</w:t>
      </w:r>
    </w:p>
    <w:p>
      <w:pPr>
        <w:ind w:firstLine="560"/>
      </w:pPr>
      <w:r>
        <w:rPr>
          <w:rFonts w:hint="eastAsia"/>
        </w:rPr>
        <w:t>既要考虑现行规划修改前指标安排情况、历年用地水平的延续性，又要考虑超前规划的合理性，在规划指标分解时，按照一定的权重予以综合体现，使规划指标分解与规划修改前安排的指标及其实施情况相衔接，与地方发展前景相协调，各项指标分配更趋合理。</w:t>
      </w:r>
    </w:p>
    <w:p>
      <w:pPr>
        <w:pStyle w:val="4"/>
        <w:ind w:firstLine="562"/>
      </w:pPr>
      <w:r>
        <w:rPr>
          <w:rFonts w:hint="eastAsia"/>
        </w:rPr>
        <w:t>3、保证重点项目、重点区域用地需求</w:t>
      </w:r>
    </w:p>
    <w:p>
      <w:pPr>
        <w:ind w:firstLine="560"/>
      </w:pPr>
      <w:r>
        <w:rPr>
          <w:rFonts w:hint="eastAsia"/>
        </w:rPr>
        <w:t>根据社会经济非均衡发展的实际，优先保障重点发展区域、重点部位和重点项目的用地需求。在重点发展区域上，突出保障经济发展快速快的地带的用地需求；在重点部位上，优先安排城镇发展用地和发展趋势较好的园区用地；在重点项目上，保证交通、水利等基础设施建设项目和已经确定的重大项目用地需求。</w:t>
      </w:r>
    </w:p>
    <w:p>
      <w:pPr>
        <w:pStyle w:val="4"/>
        <w:ind w:firstLine="562"/>
      </w:pPr>
      <w:r>
        <w:rPr>
          <w:rFonts w:hint="eastAsia"/>
        </w:rPr>
        <w:t>4、综合平衡，统筹安排</w:t>
      </w:r>
    </w:p>
    <w:p>
      <w:pPr>
        <w:ind w:firstLine="560"/>
      </w:pPr>
      <w:r>
        <w:rPr>
          <w:rFonts w:hint="eastAsia"/>
        </w:rPr>
        <w:t>在总量指标不突破的前提下，全市建设用地指标进行统筹安排，调剂使用。各乡镇指标安排时，将园区用地需求纳入城镇用地；将城镇用地与农村居民点用地统筹考虑，采取双挂钩措施。</w:t>
      </w:r>
    </w:p>
    <w:p>
      <w:pPr>
        <w:pStyle w:val="4"/>
        <w:ind w:firstLine="562"/>
      </w:pPr>
      <w:r>
        <w:rPr>
          <w:rFonts w:hint="eastAsia"/>
        </w:rPr>
        <w:t>5、实事求是，合理调整</w:t>
      </w:r>
    </w:p>
    <w:p>
      <w:pPr>
        <w:ind w:firstLine="560"/>
      </w:pPr>
      <w:r>
        <w:rPr>
          <w:rFonts w:hint="eastAsia"/>
        </w:rPr>
        <w:t>对重点发展工业的乡镇，耕地和基本农田面积难以保持规划修改前水平的，根据用地情况进行合理调减；对以农业为主的乡镇，适当加大土地开发复垦整理力度，增加耕地保有量指标和基本农田面积；对合并后作为社区保留的原有集镇，缺乏发展前景的，适当调减以前规划的城镇规模。</w:t>
      </w:r>
    </w:p>
    <w:p>
      <w:pPr>
        <w:pStyle w:val="4"/>
        <w:ind w:firstLine="562"/>
      </w:pPr>
      <w:r>
        <w:rPr>
          <w:rFonts w:hint="eastAsia"/>
        </w:rPr>
        <w:t>二、规划控制指标分解依据</w:t>
      </w:r>
    </w:p>
    <w:p>
      <w:pPr>
        <w:ind w:firstLine="560"/>
      </w:pPr>
      <w:r>
        <w:rPr>
          <w:rFonts w:hint="eastAsia"/>
        </w:rPr>
        <w:t>乡</w:t>
      </w:r>
      <w:r>
        <w:t>镇土地利用指标是依据行政区划调整后，各乡镇的社会经济发展状况、自然条件、土地利用现状和上级规划的调控方向，参考各乡镇有关部门用地需求量预测，综合考虑乡镇耕地数量和质量、人均建设用地水平、近年建设用地量、建设占用耕地量、整理复垦开发增加耕地量、人口增长及农产品需求量、土地整理复垦开发及建设用地潜力、生态建设、环境保护、经济发展水平等诸多因素进行土地利用指标的确定。</w:t>
      </w:r>
    </w:p>
    <w:p>
      <w:pPr>
        <w:pStyle w:val="3"/>
        <w:ind w:firstLine="602"/>
      </w:pPr>
      <w:bookmarkStart w:id="159" w:name="_Toc479943941"/>
      <w:bookmarkStart w:id="160" w:name="_Toc485040261"/>
      <w:r>
        <w:rPr>
          <w:rFonts w:hint="eastAsia"/>
        </w:rPr>
        <w:t>第二节  规划控制指标分解</w:t>
      </w:r>
      <w:bookmarkEnd w:id="159"/>
      <w:bookmarkEnd w:id="160"/>
    </w:p>
    <w:p>
      <w:pPr>
        <w:ind w:firstLine="560"/>
        <w:rPr>
          <w:szCs w:val="28"/>
        </w:rPr>
      </w:pPr>
      <w:r>
        <w:t>201</w:t>
      </w:r>
      <w:r>
        <w:rPr>
          <w:rFonts w:hint="eastAsia"/>
        </w:rPr>
        <w:t>7年5月11日，《耒阳市土地利用总体规划（</w:t>
      </w:r>
      <w:r>
        <w:t>2006-2020</w:t>
      </w:r>
      <w:r>
        <w:rPr>
          <w:rFonts w:hint="eastAsia"/>
        </w:rPr>
        <w:t>年）》（</w:t>
      </w:r>
      <w:r>
        <w:t>201</w:t>
      </w:r>
      <w:r>
        <w:rPr>
          <w:rFonts w:hint="eastAsia"/>
        </w:rPr>
        <w:t>6年修订版）经湖南省人民政府（湘政办函〔</w:t>
      </w:r>
      <w:r>
        <w:t>201</w:t>
      </w:r>
      <w:r>
        <w:rPr>
          <w:rFonts w:hint="eastAsia"/>
        </w:rPr>
        <w:t>7〕47号）批准后正式实施。</w:t>
      </w:r>
      <w:r>
        <w:rPr>
          <w:rFonts w:hint="eastAsia"/>
          <w:szCs w:val="28"/>
        </w:rPr>
        <w:t>耒阳市土地利用总体规划主要控制指标如表4-1。</w:t>
      </w:r>
    </w:p>
    <w:p>
      <w:pPr>
        <w:pStyle w:val="17"/>
      </w:pPr>
      <w:r>
        <w:t>表</w:t>
      </w:r>
      <w:r>
        <w:rPr>
          <w:rFonts w:hint="eastAsia"/>
        </w:rPr>
        <w:t>4-1</w:t>
      </w:r>
      <w:r>
        <w:t xml:space="preserve">  </w:t>
      </w:r>
      <w:r>
        <w:rPr>
          <w:rFonts w:hint="eastAsia"/>
        </w:rPr>
        <w:t>耒阳市</w:t>
      </w:r>
      <w:r>
        <w:t>土地利用总体规划主要规划控制指标</w:t>
      </w:r>
    </w:p>
    <w:tbl>
      <w:tblPr>
        <w:tblStyle w:val="22"/>
        <w:tblW w:w="9371" w:type="dxa"/>
        <w:jc w:val="center"/>
        <w:tblLayout w:type="autofit"/>
        <w:tblCellMar>
          <w:top w:w="0" w:type="dxa"/>
          <w:left w:w="108" w:type="dxa"/>
          <w:bottom w:w="0" w:type="dxa"/>
          <w:right w:w="108" w:type="dxa"/>
        </w:tblCellMar>
      </w:tblPr>
      <w:tblGrid>
        <w:gridCol w:w="1133"/>
        <w:gridCol w:w="2699"/>
        <w:gridCol w:w="1995"/>
        <w:gridCol w:w="1985"/>
        <w:gridCol w:w="1559"/>
      </w:tblGrid>
      <w:tr>
        <w:tblPrEx>
          <w:tblCellMar>
            <w:top w:w="0" w:type="dxa"/>
            <w:left w:w="108" w:type="dxa"/>
            <w:bottom w:w="0" w:type="dxa"/>
            <w:right w:w="108" w:type="dxa"/>
          </w:tblCellMar>
        </w:tblPrEx>
        <w:trPr>
          <w:trHeight w:val="722" w:hRule="atLeast"/>
          <w:jc w:val="center"/>
        </w:trPr>
        <w:tc>
          <w:tcPr>
            <w:tcW w:w="0" w:type="auto"/>
            <w:gridSpan w:val="2"/>
            <w:tcBorders>
              <w:top w:val="single" w:color="auto" w:sz="8" w:space="0"/>
              <w:left w:val="nil"/>
              <w:bottom w:val="single" w:color="auto" w:sz="4" w:space="0"/>
              <w:right w:val="single" w:color="auto" w:sz="4" w:space="0"/>
            </w:tcBorders>
            <w:shd w:val="clear" w:color="auto" w:fill="auto"/>
            <w:noWrap/>
            <w:vAlign w:val="center"/>
          </w:tcPr>
          <w:p>
            <w:pPr>
              <w:spacing w:line="240" w:lineRule="exact"/>
              <w:ind w:firstLine="442" w:firstLineChars="0"/>
              <w:jc w:val="center"/>
              <w:rPr>
                <w:b/>
                <w:bCs/>
                <w:color w:val="000000"/>
                <w:kern w:val="0"/>
                <w:sz w:val="21"/>
                <w:szCs w:val="21"/>
              </w:rPr>
            </w:pPr>
            <w:r>
              <w:rPr>
                <w:b/>
                <w:bCs/>
                <w:color w:val="000000"/>
                <w:kern w:val="0"/>
                <w:sz w:val="21"/>
                <w:szCs w:val="21"/>
              </w:rPr>
              <w:t>指标名称</w:t>
            </w:r>
          </w:p>
        </w:tc>
        <w:tc>
          <w:tcPr>
            <w:tcW w:w="1995" w:type="dxa"/>
            <w:tcBorders>
              <w:top w:val="single" w:color="auto" w:sz="8" w:space="0"/>
              <w:left w:val="nil"/>
              <w:bottom w:val="single" w:color="auto" w:sz="4" w:space="0"/>
              <w:right w:val="single" w:color="auto" w:sz="4" w:space="0"/>
            </w:tcBorders>
            <w:shd w:val="clear" w:color="auto" w:fill="auto"/>
            <w:noWrap/>
            <w:vAlign w:val="center"/>
          </w:tcPr>
          <w:p>
            <w:pPr>
              <w:spacing w:line="240" w:lineRule="exact"/>
              <w:ind w:firstLine="0" w:firstLineChars="0"/>
              <w:jc w:val="center"/>
              <w:rPr>
                <w:b/>
                <w:bCs/>
                <w:kern w:val="0"/>
                <w:sz w:val="21"/>
                <w:szCs w:val="21"/>
              </w:rPr>
            </w:pPr>
            <w:r>
              <w:rPr>
                <w:b/>
                <w:bCs/>
                <w:kern w:val="0"/>
                <w:sz w:val="21"/>
                <w:szCs w:val="21"/>
              </w:rPr>
              <w:t>规划目标（2020年）</w:t>
            </w:r>
          </w:p>
          <w:p>
            <w:pPr>
              <w:spacing w:line="240" w:lineRule="exact"/>
              <w:ind w:firstLine="0" w:firstLineChars="0"/>
              <w:jc w:val="center"/>
              <w:rPr>
                <w:b/>
                <w:bCs/>
                <w:kern w:val="0"/>
                <w:sz w:val="21"/>
                <w:szCs w:val="21"/>
              </w:rPr>
            </w:pPr>
            <w:r>
              <w:rPr>
                <w:b/>
                <w:bCs/>
                <w:kern w:val="0"/>
                <w:sz w:val="21"/>
                <w:szCs w:val="21"/>
              </w:rPr>
              <w:t>（修改前）</w:t>
            </w:r>
          </w:p>
        </w:tc>
        <w:tc>
          <w:tcPr>
            <w:tcW w:w="1985" w:type="dxa"/>
            <w:tcBorders>
              <w:top w:val="single" w:color="auto" w:sz="8" w:space="0"/>
              <w:left w:val="nil"/>
              <w:bottom w:val="single" w:color="auto" w:sz="4" w:space="0"/>
              <w:right w:val="single" w:color="auto" w:sz="4" w:space="0"/>
            </w:tcBorders>
            <w:shd w:val="clear" w:color="auto" w:fill="auto"/>
            <w:noWrap/>
            <w:vAlign w:val="center"/>
          </w:tcPr>
          <w:p>
            <w:pPr>
              <w:spacing w:line="240" w:lineRule="exact"/>
              <w:ind w:firstLine="0" w:firstLineChars="0"/>
              <w:jc w:val="center"/>
              <w:rPr>
                <w:b/>
                <w:bCs/>
                <w:kern w:val="0"/>
                <w:sz w:val="21"/>
                <w:szCs w:val="21"/>
              </w:rPr>
            </w:pPr>
            <w:r>
              <w:rPr>
                <w:b/>
                <w:bCs/>
                <w:kern w:val="0"/>
                <w:sz w:val="21"/>
                <w:szCs w:val="21"/>
              </w:rPr>
              <w:t>规划目标（2020年）</w:t>
            </w:r>
          </w:p>
          <w:p>
            <w:pPr>
              <w:spacing w:line="240" w:lineRule="exact"/>
              <w:ind w:firstLine="0" w:firstLineChars="0"/>
              <w:jc w:val="center"/>
              <w:rPr>
                <w:b/>
                <w:bCs/>
                <w:kern w:val="0"/>
                <w:sz w:val="21"/>
                <w:szCs w:val="21"/>
              </w:rPr>
            </w:pPr>
            <w:r>
              <w:rPr>
                <w:b/>
                <w:bCs/>
                <w:kern w:val="0"/>
                <w:sz w:val="21"/>
                <w:szCs w:val="21"/>
              </w:rPr>
              <w:t>（修改后）</w:t>
            </w:r>
          </w:p>
        </w:tc>
        <w:tc>
          <w:tcPr>
            <w:tcW w:w="1559" w:type="dxa"/>
            <w:tcBorders>
              <w:top w:val="single" w:color="auto" w:sz="8" w:space="0"/>
              <w:left w:val="nil"/>
              <w:bottom w:val="single" w:color="auto" w:sz="4" w:space="0"/>
              <w:right w:val="nil"/>
            </w:tcBorders>
            <w:shd w:val="clear" w:color="auto" w:fill="auto"/>
            <w:noWrap/>
            <w:vAlign w:val="center"/>
          </w:tcPr>
          <w:p>
            <w:pPr>
              <w:spacing w:line="240" w:lineRule="exact"/>
              <w:ind w:firstLine="0" w:firstLineChars="0"/>
              <w:jc w:val="center"/>
              <w:rPr>
                <w:b/>
                <w:bCs/>
                <w:color w:val="000000"/>
                <w:kern w:val="0"/>
                <w:sz w:val="21"/>
                <w:szCs w:val="21"/>
              </w:rPr>
            </w:pPr>
            <w:r>
              <w:rPr>
                <w:b/>
                <w:bCs/>
                <w:color w:val="000000"/>
                <w:kern w:val="0"/>
                <w:sz w:val="21"/>
                <w:szCs w:val="21"/>
              </w:rPr>
              <w:t>指标属性</w:t>
            </w:r>
          </w:p>
        </w:tc>
      </w:tr>
      <w:tr>
        <w:tblPrEx>
          <w:tblCellMar>
            <w:top w:w="0" w:type="dxa"/>
            <w:left w:w="108" w:type="dxa"/>
            <w:bottom w:w="0" w:type="dxa"/>
            <w:right w:w="108" w:type="dxa"/>
          </w:tblCellMar>
        </w:tblPrEx>
        <w:trPr>
          <w:trHeight w:val="360" w:hRule="atLeast"/>
          <w:jc w:val="center"/>
        </w:trPr>
        <w:tc>
          <w:tcPr>
            <w:tcW w:w="0" w:type="auto"/>
            <w:vMerge w:val="restart"/>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b/>
                <w:bCs/>
                <w:color w:val="000000"/>
                <w:kern w:val="0"/>
                <w:sz w:val="21"/>
                <w:szCs w:val="21"/>
              </w:rPr>
            </w:pPr>
            <w:r>
              <w:rPr>
                <w:b/>
                <w:bCs/>
                <w:color w:val="000000"/>
                <w:kern w:val="0"/>
                <w:sz w:val="21"/>
                <w:szCs w:val="21"/>
              </w:rPr>
              <w:t>总量指标</w:t>
            </w:r>
          </w:p>
          <w:p>
            <w:pPr>
              <w:spacing w:line="240" w:lineRule="exact"/>
              <w:ind w:firstLine="0" w:firstLineChars="0"/>
              <w:jc w:val="center"/>
              <w:rPr>
                <w:b/>
                <w:bCs/>
                <w:color w:val="000000"/>
                <w:kern w:val="0"/>
                <w:sz w:val="21"/>
                <w:szCs w:val="21"/>
              </w:rPr>
            </w:pPr>
            <w:r>
              <w:rPr>
                <w:b/>
                <w:bCs/>
                <w:color w:val="000000"/>
                <w:kern w:val="0"/>
                <w:sz w:val="21"/>
                <w:szCs w:val="21"/>
              </w:rPr>
              <w:t>（公顷）</w:t>
            </w:r>
          </w:p>
        </w:tc>
        <w:tc>
          <w:tcPr>
            <w:tcW w:w="0" w:type="auto"/>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耕地保有量</w:t>
            </w:r>
          </w:p>
        </w:tc>
        <w:tc>
          <w:tcPr>
            <w:tcW w:w="199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62467.00 </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63420.00 </w:t>
            </w:r>
          </w:p>
        </w:tc>
        <w:tc>
          <w:tcPr>
            <w:tcW w:w="1559" w:type="dxa"/>
            <w:tcBorders>
              <w:top w:val="nil"/>
              <w:left w:val="nil"/>
              <w:bottom w:val="single" w:color="auto" w:sz="4" w:space="0"/>
              <w:right w:val="nil"/>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约束性</w:t>
            </w:r>
          </w:p>
        </w:tc>
      </w:tr>
      <w:tr>
        <w:tblPrEx>
          <w:tblCellMar>
            <w:top w:w="0" w:type="dxa"/>
            <w:left w:w="108" w:type="dxa"/>
            <w:bottom w:w="0" w:type="dxa"/>
            <w:right w:w="108" w:type="dxa"/>
          </w:tblCellMar>
        </w:tblPrEx>
        <w:trPr>
          <w:trHeight w:val="386" w:hRule="atLeast"/>
          <w:jc w:val="center"/>
        </w:trPr>
        <w:tc>
          <w:tcPr>
            <w:tcW w:w="0" w:type="auto"/>
            <w:vMerge w:val="continue"/>
            <w:tcBorders>
              <w:top w:val="nil"/>
              <w:left w:val="nil"/>
              <w:bottom w:val="single" w:color="auto" w:sz="4" w:space="0"/>
              <w:right w:val="single" w:color="auto" w:sz="4" w:space="0"/>
            </w:tcBorders>
            <w:vAlign w:val="center"/>
          </w:tcPr>
          <w:p>
            <w:pPr>
              <w:spacing w:line="240" w:lineRule="exact"/>
              <w:ind w:firstLine="0" w:firstLineChars="0"/>
              <w:jc w:val="left"/>
              <w:rPr>
                <w:b/>
                <w:bCs/>
                <w:color w:val="000000"/>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基本农田保护面积</w:t>
            </w:r>
          </w:p>
        </w:tc>
        <w:tc>
          <w:tcPr>
            <w:tcW w:w="199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52450.00 </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53130.00 </w:t>
            </w:r>
          </w:p>
        </w:tc>
        <w:tc>
          <w:tcPr>
            <w:tcW w:w="1559" w:type="dxa"/>
            <w:tcBorders>
              <w:top w:val="nil"/>
              <w:left w:val="nil"/>
              <w:bottom w:val="single" w:color="auto" w:sz="4" w:space="0"/>
              <w:right w:val="nil"/>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约束性</w:t>
            </w:r>
          </w:p>
        </w:tc>
      </w:tr>
      <w:tr>
        <w:tblPrEx>
          <w:tblCellMar>
            <w:top w:w="0" w:type="dxa"/>
            <w:left w:w="108" w:type="dxa"/>
            <w:bottom w:w="0" w:type="dxa"/>
            <w:right w:w="108" w:type="dxa"/>
          </w:tblCellMar>
        </w:tblPrEx>
        <w:trPr>
          <w:trHeight w:val="352" w:hRule="atLeast"/>
          <w:jc w:val="center"/>
        </w:trPr>
        <w:tc>
          <w:tcPr>
            <w:tcW w:w="0" w:type="auto"/>
            <w:vMerge w:val="continue"/>
            <w:tcBorders>
              <w:top w:val="nil"/>
              <w:left w:val="nil"/>
              <w:bottom w:val="single" w:color="auto" w:sz="4" w:space="0"/>
              <w:right w:val="single" w:color="auto" w:sz="4" w:space="0"/>
            </w:tcBorders>
            <w:vAlign w:val="center"/>
          </w:tcPr>
          <w:p>
            <w:pPr>
              <w:spacing w:line="240" w:lineRule="exact"/>
              <w:ind w:firstLine="0" w:firstLineChars="0"/>
              <w:jc w:val="left"/>
              <w:rPr>
                <w:b/>
                <w:bCs/>
                <w:color w:val="000000"/>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建设用地总规模</w:t>
            </w:r>
          </w:p>
        </w:tc>
        <w:tc>
          <w:tcPr>
            <w:tcW w:w="199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23407.79 </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23407.79 </w:t>
            </w:r>
          </w:p>
        </w:tc>
        <w:tc>
          <w:tcPr>
            <w:tcW w:w="1559" w:type="dxa"/>
            <w:tcBorders>
              <w:top w:val="nil"/>
              <w:left w:val="nil"/>
              <w:bottom w:val="single" w:color="auto" w:sz="4" w:space="0"/>
              <w:right w:val="nil"/>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预期性</w:t>
            </w:r>
          </w:p>
        </w:tc>
      </w:tr>
      <w:tr>
        <w:tblPrEx>
          <w:tblCellMar>
            <w:top w:w="0" w:type="dxa"/>
            <w:left w:w="108" w:type="dxa"/>
            <w:bottom w:w="0" w:type="dxa"/>
            <w:right w:w="108" w:type="dxa"/>
          </w:tblCellMar>
        </w:tblPrEx>
        <w:trPr>
          <w:trHeight w:val="359" w:hRule="atLeast"/>
          <w:jc w:val="center"/>
        </w:trPr>
        <w:tc>
          <w:tcPr>
            <w:tcW w:w="0" w:type="auto"/>
            <w:vMerge w:val="continue"/>
            <w:tcBorders>
              <w:top w:val="nil"/>
              <w:left w:val="nil"/>
              <w:bottom w:val="single" w:color="auto" w:sz="4" w:space="0"/>
              <w:right w:val="single" w:color="auto" w:sz="4" w:space="0"/>
            </w:tcBorders>
            <w:vAlign w:val="center"/>
          </w:tcPr>
          <w:p>
            <w:pPr>
              <w:spacing w:line="240" w:lineRule="exact"/>
              <w:ind w:firstLine="0" w:firstLineChars="0"/>
              <w:jc w:val="left"/>
              <w:rPr>
                <w:b/>
                <w:bCs/>
                <w:color w:val="000000"/>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城乡建设用地规模</w:t>
            </w:r>
          </w:p>
        </w:tc>
        <w:tc>
          <w:tcPr>
            <w:tcW w:w="199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19959.21 </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19679.16 </w:t>
            </w:r>
          </w:p>
        </w:tc>
        <w:tc>
          <w:tcPr>
            <w:tcW w:w="1559" w:type="dxa"/>
            <w:tcBorders>
              <w:top w:val="nil"/>
              <w:left w:val="nil"/>
              <w:bottom w:val="single" w:color="auto" w:sz="4" w:space="0"/>
              <w:right w:val="nil"/>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约束性</w:t>
            </w:r>
          </w:p>
        </w:tc>
      </w:tr>
      <w:tr>
        <w:tblPrEx>
          <w:tblCellMar>
            <w:top w:w="0" w:type="dxa"/>
            <w:left w:w="108" w:type="dxa"/>
            <w:bottom w:w="0" w:type="dxa"/>
            <w:right w:w="108" w:type="dxa"/>
          </w:tblCellMar>
        </w:tblPrEx>
        <w:trPr>
          <w:trHeight w:val="401" w:hRule="atLeast"/>
          <w:jc w:val="center"/>
        </w:trPr>
        <w:tc>
          <w:tcPr>
            <w:tcW w:w="0" w:type="auto"/>
            <w:vMerge w:val="continue"/>
            <w:tcBorders>
              <w:top w:val="nil"/>
              <w:left w:val="nil"/>
              <w:bottom w:val="single" w:color="auto" w:sz="4" w:space="0"/>
              <w:right w:val="single" w:color="auto" w:sz="4" w:space="0"/>
            </w:tcBorders>
            <w:vAlign w:val="center"/>
          </w:tcPr>
          <w:p>
            <w:pPr>
              <w:spacing w:line="240" w:lineRule="exact"/>
              <w:ind w:firstLine="0" w:firstLineChars="0"/>
              <w:jc w:val="left"/>
              <w:rPr>
                <w:b/>
                <w:bCs/>
                <w:color w:val="000000"/>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城镇工矿用地规模</w:t>
            </w:r>
          </w:p>
        </w:tc>
        <w:tc>
          <w:tcPr>
            <w:tcW w:w="199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8066.53 </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7806.45 </w:t>
            </w:r>
          </w:p>
        </w:tc>
        <w:tc>
          <w:tcPr>
            <w:tcW w:w="1559" w:type="dxa"/>
            <w:tcBorders>
              <w:top w:val="nil"/>
              <w:left w:val="nil"/>
              <w:bottom w:val="single" w:color="auto" w:sz="4" w:space="0"/>
              <w:right w:val="nil"/>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预期性</w:t>
            </w:r>
          </w:p>
        </w:tc>
      </w:tr>
      <w:tr>
        <w:tblPrEx>
          <w:tblCellMar>
            <w:top w:w="0" w:type="dxa"/>
            <w:left w:w="108" w:type="dxa"/>
            <w:bottom w:w="0" w:type="dxa"/>
            <w:right w:w="108" w:type="dxa"/>
          </w:tblCellMar>
        </w:tblPrEx>
        <w:trPr>
          <w:trHeight w:val="370" w:hRule="atLeast"/>
          <w:jc w:val="center"/>
        </w:trPr>
        <w:tc>
          <w:tcPr>
            <w:tcW w:w="0" w:type="auto"/>
            <w:vMerge w:val="restart"/>
            <w:tcBorders>
              <w:top w:val="single" w:color="auto" w:sz="4" w:space="0"/>
              <w:left w:val="nil"/>
              <w:bottom w:val="single" w:color="000000" w:sz="8" w:space="0"/>
              <w:right w:val="single" w:color="auto" w:sz="4" w:space="0"/>
            </w:tcBorders>
            <w:shd w:val="clear" w:color="auto" w:fill="auto"/>
            <w:noWrap/>
            <w:vAlign w:val="center"/>
          </w:tcPr>
          <w:p>
            <w:pPr>
              <w:spacing w:line="240" w:lineRule="exact"/>
              <w:ind w:firstLine="0" w:firstLineChars="0"/>
              <w:jc w:val="center"/>
              <w:rPr>
                <w:b/>
                <w:bCs/>
                <w:color w:val="000000"/>
                <w:kern w:val="0"/>
                <w:sz w:val="21"/>
                <w:szCs w:val="21"/>
              </w:rPr>
            </w:pPr>
            <w:r>
              <w:rPr>
                <w:b/>
                <w:bCs/>
                <w:color w:val="000000"/>
                <w:kern w:val="0"/>
                <w:sz w:val="21"/>
                <w:szCs w:val="21"/>
              </w:rPr>
              <w:t>增量指标</w:t>
            </w:r>
          </w:p>
          <w:p>
            <w:pPr>
              <w:spacing w:line="240" w:lineRule="exact"/>
              <w:ind w:firstLine="0" w:firstLineChars="0"/>
              <w:jc w:val="center"/>
              <w:rPr>
                <w:b/>
                <w:bCs/>
                <w:color w:val="000000"/>
                <w:kern w:val="0"/>
                <w:sz w:val="21"/>
                <w:szCs w:val="21"/>
              </w:rPr>
            </w:pPr>
            <w:r>
              <w:rPr>
                <w:b/>
                <w:bCs/>
                <w:color w:val="000000"/>
                <w:kern w:val="0"/>
                <w:sz w:val="21"/>
                <w:szCs w:val="21"/>
              </w:rPr>
              <w:t>（公顷）</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新增建设用地规模</w:t>
            </w:r>
          </w:p>
        </w:tc>
        <w:tc>
          <w:tcPr>
            <w:tcW w:w="19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6076.82 </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6076.82 </w:t>
            </w:r>
          </w:p>
        </w:tc>
        <w:tc>
          <w:tcPr>
            <w:tcW w:w="1559" w:type="dxa"/>
            <w:tcBorders>
              <w:top w:val="single" w:color="auto" w:sz="4" w:space="0"/>
              <w:left w:val="nil"/>
              <w:bottom w:val="single" w:color="auto" w:sz="4" w:space="0"/>
              <w:right w:val="nil"/>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预期性</w:t>
            </w:r>
          </w:p>
        </w:tc>
      </w:tr>
      <w:tr>
        <w:tblPrEx>
          <w:tblCellMar>
            <w:top w:w="0" w:type="dxa"/>
            <w:left w:w="108" w:type="dxa"/>
            <w:bottom w:w="0" w:type="dxa"/>
            <w:right w:w="108" w:type="dxa"/>
          </w:tblCellMar>
        </w:tblPrEx>
        <w:trPr>
          <w:trHeight w:val="342" w:hRule="atLeast"/>
          <w:jc w:val="center"/>
        </w:trPr>
        <w:tc>
          <w:tcPr>
            <w:tcW w:w="0" w:type="auto"/>
            <w:vMerge w:val="continue"/>
            <w:tcBorders>
              <w:top w:val="nil"/>
              <w:left w:val="nil"/>
              <w:bottom w:val="single" w:color="000000" w:sz="8" w:space="0"/>
              <w:right w:val="single" w:color="auto" w:sz="4" w:space="0"/>
            </w:tcBorders>
            <w:vAlign w:val="center"/>
          </w:tcPr>
          <w:p>
            <w:pPr>
              <w:spacing w:line="240" w:lineRule="exact"/>
              <w:ind w:firstLine="0" w:firstLineChars="0"/>
              <w:jc w:val="left"/>
              <w:rPr>
                <w:b/>
                <w:bCs/>
                <w:color w:val="000000"/>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新增建设占用农用地规模</w:t>
            </w:r>
          </w:p>
        </w:tc>
        <w:tc>
          <w:tcPr>
            <w:tcW w:w="199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5721.68 </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5706.54 </w:t>
            </w:r>
          </w:p>
        </w:tc>
        <w:tc>
          <w:tcPr>
            <w:tcW w:w="1559" w:type="dxa"/>
            <w:tcBorders>
              <w:top w:val="nil"/>
              <w:left w:val="nil"/>
              <w:bottom w:val="single" w:color="auto" w:sz="4" w:space="0"/>
              <w:right w:val="nil"/>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预期性</w:t>
            </w:r>
          </w:p>
        </w:tc>
      </w:tr>
      <w:tr>
        <w:tblPrEx>
          <w:tblCellMar>
            <w:top w:w="0" w:type="dxa"/>
            <w:left w:w="108" w:type="dxa"/>
            <w:bottom w:w="0" w:type="dxa"/>
            <w:right w:w="108" w:type="dxa"/>
          </w:tblCellMar>
        </w:tblPrEx>
        <w:trPr>
          <w:trHeight w:val="368" w:hRule="atLeast"/>
          <w:jc w:val="center"/>
        </w:trPr>
        <w:tc>
          <w:tcPr>
            <w:tcW w:w="0" w:type="auto"/>
            <w:vMerge w:val="continue"/>
            <w:tcBorders>
              <w:top w:val="nil"/>
              <w:left w:val="nil"/>
              <w:bottom w:val="single" w:color="000000" w:sz="8" w:space="0"/>
              <w:right w:val="single" w:color="auto" w:sz="4" w:space="0"/>
            </w:tcBorders>
            <w:vAlign w:val="center"/>
          </w:tcPr>
          <w:p>
            <w:pPr>
              <w:spacing w:line="240" w:lineRule="exact"/>
              <w:ind w:firstLine="0" w:firstLineChars="0"/>
              <w:jc w:val="left"/>
              <w:rPr>
                <w:b/>
                <w:bCs/>
                <w:color w:val="000000"/>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新增建设占用耕地规模</w:t>
            </w:r>
          </w:p>
        </w:tc>
        <w:tc>
          <w:tcPr>
            <w:tcW w:w="199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2405.31 </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2128.07 </w:t>
            </w:r>
          </w:p>
        </w:tc>
        <w:tc>
          <w:tcPr>
            <w:tcW w:w="1559" w:type="dxa"/>
            <w:tcBorders>
              <w:top w:val="nil"/>
              <w:left w:val="nil"/>
              <w:bottom w:val="single" w:color="auto" w:sz="4" w:space="0"/>
              <w:right w:val="nil"/>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约束性</w:t>
            </w:r>
          </w:p>
        </w:tc>
      </w:tr>
      <w:tr>
        <w:tblPrEx>
          <w:tblCellMar>
            <w:top w:w="0" w:type="dxa"/>
            <w:left w:w="108" w:type="dxa"/>
            <w:bottom w:w="0" w:type="dxa"/>
            <w:right w:w="108" w:type="dxa"/>
          </w:tblCellMar>
        </w:tblPrEx>
        <w:trPr>
          <w:trHeight w:val="352" w:hRule="atLeast"/>
          <w:jc w:val="center"/>
        </w:trPr>
        <w:tc>
          <w:tcPr>
            <w:tcW w:w="0" w:type="auto"/>
            <w:vMerge w:val="continue"/>
            <w:tcBorders>
              <w:top w:val="nil"/>
              <w:left w:val="nil"/>
              <w:bottom w:val="single" w:color="000000" w:sz="8" w:space="0"/>
              <w:right w:val="single" w:color="auto" w:sz="4" w:space="0"/>
            </w:tcBorders>
            <w:vAlign w:val="center"/>
          </w:tcPr>
          <w:p>
            <w:pPr>
              <w:spacing w:line="240" w:lineRule="exact"/>
              <w:ind w:firstLine="0" w:firstLineChars="0"/>
              <w:jc w:val="left"/>
              <w:rPr>
                <w:b/>
                <w:bCs/>
                <w:color w:val="000000"/>
                <w:kern w:val="0"/>
                <w:sz w:val="21"/>
                <w:szCs w:val="21"/>
              </w:rPr>
            </w:pPr>
          </w:p>
        </w:tc>
        <w:tc>
          <w:tcPr>
            <w:tcW w:w="0" w:type="auto"/>
            <w:tcBorders>
              <w:top w:val="nil"/>
              <w:left w:val="nil"/>
              <w:bottom w:val="single" w:color="auto" w:sz="8" w:space="0"/>
              <w:right w:val="single" w:color="auto" w:sz="4" w:space="0"/>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补充耕地任务量</w:t>
            </w:r>
          </w:p>
        </w:tc>
        <w:tc>
          <w:tcPr>
            <w:tcW w:w="1995"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3103.86 </w:t>
            </w:r>
          </w:p>
        </w:tc>
        <w:tc>
          <w:tcPr>
            <w:tcW w:w="1985"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3103.86 </w:t>
            </w:r>
          </w:p>
        </w:tc>
        <w:tc>
          <w:tcPr>
            <w:tcW w:w="1559" w:type="dxa"/>
            <w:tcBorders>
              <w:top w:val="nil"/>
              <w:left w:val="nil"/>
              <w:bottom w:val="single" w:color="auto" w:sz="8" w:space="0"/>
              <w:right w:val="nil"/>
            </w:tcBorders>
            <w:shd w:val="clear" w:color="auto" w:fill="auto"/>
            <w:noWrap/>
            <w:vAlign w:val="center"/>
          </w:tcPr>
          <w:p>
            <w:pPr>
              <w:spacing w:line="240" w:lineRule="exact"/>
              <w:ind w:firstLine="0" w:firstLineChars="0"/>
              <w:jc w:val="center"/>
              <w:rPr>
                <w:color w:val="000000"/>
                <w:kern w:val="0"/>
                <w:sz w:val="21"/>
                <w:szCs w:val="21"/>
              </w:rPr>
            </w:pPr>
            <w:r>
              <w:rPr>
                <w:color w:val="000000"/>
                <w:kern w:val="0"/>
                <w:sz w:val="21"/>
                <w:szCs w:val="21"/>
              </w:rPr>
              <w:t>约束性</w:t>
            </w:r>
          </w:p>
        </w:tc>
      </w:tr>
    </w:tbl>
    <w:p>
      <w:pPr>
        <w:ind w:firstLine="560"/>
      </w:pPr>
    </w:p>
    <w:p>
      <w:pPr>
        <w:ind w:firstLine="560"/>
      </w:pPr>
    </w:p>
    <w:p>
      <w:pPr>
        <w:pStyle w:val="4"/>
        <w:ind w:firstLine="562"/>
        <w:rPr>
          <w:szCs w:val="30"/>
        </w:rPr>
      </w:pPr>
      <w:r>
        <w:rPr>
          <w:szCs w:val="30"/>
        </w:rPr>
        <w:t>一、总量目标</w:t>
      </w:r>
    </w:p>
    <w:p>
      <w:pPr>
        <w:pStyle w:val="4"/>
        <w:ind w:firstLine="562"/>
      </w:pPr>
      <w:r>
        <w:t>1、耕地保有量目标</w:t>
      </w:r>
    </w:p>
    <w:p>
      <w:pPr>
        <w:ind w:firstLine="560"/>
        <w:rPr>
          <w:rFonts w:cs="Times New Roman"/>
          <w:szCs w:val="28"/>
        </w:rPr>
      </w:pPr>
      <w:r>
        <w:rPr>
          <w:rFonts w:cs="Times New Roman"/>
          <w:szCs w:val="28"/>
        </w:rPr>
        <w:t>规划修改后，到2020年，耒阳市耕地保有量由规划修改前不低于624</w:t>
      </w:r>
      <w:r>
        <w:rPr>
          <w:rFonts w:hint="eastAsia" w:cs="Times New Roman"/>
          <w:szCs w:val="28"/>
        </w:rPr>
        <w:t>6</w:t>
      </w:r>
      <w:r>
        <w:rPr>
          <w:rFonts w:cs="Times New Roman"/>
          <w:szCs w:val="28"/>
        </w:rPr>
        <w:t>7.00公顷调整为不低于63420.00公顷，较规划修改前净增加9</w:t>
      </w:r>
      <w:r>
        <w:rPr>
          <w:rFonts w:hint="eastAsia" w:cs="Times New Roman"/>
          <w:szCs w:val="28"/>
        </w:rPr>
        <w:t>5</w:t>
      </w:r>
      <w:r>
        <w:rPr>
          <w:rFonts w:cs="Times New Roman"/>
          <w:szCs w:val="28"/>
        </w:rPr>
        <w:t>3.00公顷</w:t>
      </w:r>
      <w:r>
        <w:rPr>
          <w:rFonts w:hint="eastAsia" w:cs="Times New Roman"/>
          <w:szCs w:val="28"/>
        </w:rPr>
        <w:t>。</w:t>
      </w:r>
    </w:p>
    <w:p>
      <w:pPr>
        <w:ind w:firstLine="560"/>
      </w:pPr>
      <w:r>
        <w:rPr>
          <w:rFonts w:hint="eastAsia"/>
        </w:rPr>
        <w:t>以核实的2014年耒阳市土地利用现状变更调查数据库的耕地保有量为基数，以规划修改前的耕地有量目标为基础，综合分析、预测规划期间因生态退耕、灾毁、建设占用、建设用地切块调出还原、整理复垦开发补充耕地义务量等引起耕地变化的面积，将耕地保有量指标分配到下属各行政单位（表4-2）。</w:t>
      </w:r>
    </w:p>
    <w:p>
      <w:pPr>
        <w:pStyle w:val="4"/>
        <w:ind w:firstLine="562"/>
      </w:pPr>
      <w:r>
        <w:t>2、基本农田保护目标</w:t>
      </w:r>
    </w:p>
    <w:p>
      <w:pPr>
        <w:ind w:firstLine="560"/>
        <w:rPr>
          <w:rFonts w:cs="Times New Roman"/>
          <w:szCs w:val="28"/>
        </w:rPr>
      </w:pPr>
      <w:r>
        <w:rPr>
          <w:rFonts w:cs="Times New Roman"/>
          <w:szCs w:val="28"/>
        </w:rPr>
        <w:t>规划修改后，到2020年，</w:t>
      </w:r>
      <w:r>
        <w:t>耒阳市基本农田保护</w:t>
      </w:r>
      <w:r>
        <w:rPr>
          <w:rFonts w:hint="eastAsia"/>
        </w:rPr>
        <w:t>目标</w:t>
      </w:r>
      <w:r>
        <w:t>由</w:t>
      </w:r>
      <w:r>
        <w:rPr>
          <w:rFonts w:hint="eastAsia"/>
        </w:rPr>
        <w:t>52450.00</w:t>
      </w:r>
      <w:r>
        <w:t>公顷调整至53130.00公顷，净增加</w:t>
      </w:r>
      <w:r>
        <w:rPr>
          <w:rFonts w:hint="eastAsia"/>
        </w:rPr>
        <w:t>680.00</w:t>
      </w:r>
      <w:r>
        <w:t>公顷</w:t>
      </w:r>
      <w:r>
        <w:rPr>
          <w:rFonts w:hint="eastAsia" w:cs="Times New Roman"/>
          <w:szCs w:val="28"/>
        </w:rPr>
        <w:t>。</w:t>
      </w:r>
    </w:p>
    <w:p>
      <w:pPr>
        <w:ind w:firstLine="560"/>
      </w:pPr>
      <w:r>
        <w:t>经与耒阳市永久性基本农田划定工作对接，为落实基本农田保护目标，确保基本农田“划好、划足、划实、划优”， 耒阳市基本农田质量等别平均为10等</w:t>
      </w:r>
      <w:r>
        <w:rPr>
          <w:rFonts w:hint="eastAsia"/>
        </w:rPr>
        <w:t>，将耕地保有量指标分配到下属各行政单位（表4-3）。</w:t>
      </w:r>
    </w:p>
    <w:p>
      <w:pPr>
        <w:pStyle w:val="4"/>
        <w:ind w:firstLine="562"/>
      </w:pPr>
      <w:r>
        <w:rPr>
          <w:rFonts w:hint="eastAsia"/>
        </w:rPr>
        <w:t>3、建设用地总规模</w:t>
      </w:r>
    </w:p>
    <w:p>
      <w:pPr>
        <w:ind w:firstLine="560"/>
      </w:pPr>
      <w:r>
        <w:rPr>
          <w:szCs w:val="28"/>
        </w:rPr>
        <w:t>规划修改后，到2020年，耒阳市建设用地</w:t>
      </w:r>
      <w:r>
        <w:t>规模控制在23407.79公顷以内，与规划修改前保持一致</w:t>
      </w:r>
      <w:r>
        <w:rPr>
          <w:rFonts w:hint="eastAsia"/>
        </w:rPr>
        <w:t>（表4-4）</w:t>
      </w:r>
      <w:r>
        <w:t>。</w:t>
      </w:r>
    </w:p>
    <w:p>
      <w:pPr>
        <w:pStyle w:val="4"/>
        <w:ind w:firstLine="562"/>
      </w:pPr>
      <w:r>
        <w:rPr>
          <w:rFonts w:hint="eastAsia"/>
        </w:rPr>
        <w:t>4、城乡建设用地规模</w:t>
      </w:r>
    </w:p>
    <w:p>
      <w:pPr>
        <w:ind w:firstLine="560"/>
        <w:rPr>
          <w:szCs w:val="28"/>
        </w:rPr>
      </w:pPr>
      <w:r>
        <w:rPr>
          <w:szCs w:val="28"/>
        </w:rPr>
        <w:t>规划修改后，</w:t>
      </w:r>
      <w:r>
        <w:rPr>
          <w:rFonts w:cs="Times New Roman"/>
          <w:szCs w:val="28"/>
        </w:rPr>
        <w:t>到2020年，耒阳市城乡建设用地</w:t>
      </w:r>
      <w:r>
        <w:rPr>
          <w:rFonts w:hint="eastAsia" w:cs="Times New Roman"/>
          <w:szCs w:val="28"/>
        </w:rPr>
        <w:t>规模</w:t>
      </w:r>
      <w:r>
        <w:rPr>
          <w:rFonts w:cs="Times New Roman"/>
          <w:szCs w:val="28"/>
        </w:rPr>
        <w:t>由规划修改前的</w:t>
      </w:r>
      <w:r>
        <w:rPr>
          <w:rFonts w:hint="eastAsia" w:cs="Times New Roman"/>
          <w:szCs w:val="28"/>
        </w:rPr>
        <w:t>19959.21</w:t>
      </w:r>
      <w:r>
        <w:rPr>
          <w:rFonts w:cs="Times New Roman"/>
          <w:szCs w:val="28"/>
        </w:rPr>
        <w:t>公顷调整为</w:t>
      </w:r>
      <w:r>
        <w:rPr>
          <w:rFonts w:hint="eastAsia" w:cs="Times New Roman"/>
          <w:szCs w:val="28"/>
        </w:rPr>
        <w:t>19679.16</w:t>
      </w:r>
      <w:r>
        <w:rPr>
          <w:rFonts w:cs="Times New Roman"/>
          <w:szCs w:val="28"/>
        </w:rPr>
        <w:t>公顷，净</w:t>
      </w:r>
      <w:r>
        <w:rPr>
          <w:rFonts w:hint="eastAsia" w:cs="Times New Roman"/>
          <w:szCs w:val="28"/>
        </w:rPr>
        <w:t>减少280.05</w:t>
      </w:r>
      <w:r>
        <w:rPr>
          <w:rFonts w:cs="Times New Roman"/>
          <w:szCs w:val="28"/>
        </w:rPr>
        <w:t>公顷</w:t>
      </w:r>
      <w:r>
        <w:rPr>
          <w:rFonts w:hint="eastAsia"/>
        </w:rPr>
        <w:t>（表4-5）</w:t>
      </w:r>
      <w:r>
        <w:rPr>
          <w:szCs w:val="28"/>
        </w:rPr>
        <w:t>。</w:t>
      </w:r>
    </w:p>
    <w:p>
      <w:pPr>
        <w:pStyle w:val="4"/>
        <w:ind w:firstLine="562"/>
      </w:pPr>
      <w:r>
        <w:rPr>
          <w:rFonts w:hint="eastAsia"/>
        </w:rPr>
        <w:t>5、城镇工矿用地规模</w:t>
      </w:r>
    </w:p>
    <w:p>
      <w:pPr>
        <w:ind w:firstLine="560"/>
      </w:pPr>
      <w:r>
        <w:t>规划修改后，到2020年，耒阳市城镇工矿用地</w:t>
      </w:r>
      <w:r>
        <w:rPr>
          <w:rFonts w:hint="eastAsia"/>
        </w:rPr>
        <w:t>规模</w:t>
      </w:r>
      <w:r>
        <w:t>由规划修改前的8066.53公顷调整为7806.45公顷，净</w:t>
      </w:r>
      <w:r>
        <w:rPr>
          <w:rFonts w:hint="eastAsia"/>
        </w:rPr>
        <w:t>减少</w:t>
      </w:r>
      <w:r>
        <w:t>260.08公顷</w:t>
      </w:r>
      <w:r>
        <w:rPr>
          <w:rFonts w:hint="eastAsia"/>
        </w:rPr>
        <w:t>（表4-6）。</w:t>
      </w:r>
    </w:p>
    <w:p>
      <w:pPr>
        <w:ind w:firstLine="0" w:firstLineChars="0"/>
      </w:pPr>
    </w:p>
    <w:p>
      <w:pPr>
        <w:ind w:firstLine="0" w:firstLineChars="0"/>
      </w:pPr>
    </w:p>
    <w:p>
      <w:pPr>
        <w:pStyle w:val="17"/>
      </w:pPr>
      <w:r>
        <w:t>表</w:t>
      </w:r>
      <w:r>
        <w:rPr>
          <w:rFonts w:hint="eastAsia"/>
        </w:rPr>
        <w:t>4</w:t>
      </w:r>
      <w:r>
        <w:t>-</w:t>
      </w:r>
      <w:r>
        <w:rPr>
          <w:rFonts w:hint="eastAsia"/>
        </w:rPr>
        <w:t>2</w:t>
      </w:r>
      <w:r>
        <w:t xml:space="preserve">  耒阳市各乡镇耕地保有量目标调整情况表</w:t>
      </w:r>
    </w:p>
    <w:tbl>
      <w:tblPr>
        <w:tblStyle w:val="22"/>
        <w:tblW w:w="9142" w:type="dxa"/>
        <w:jc w:val="center"/>
        <w:tblLayout w:type="autofit"/>
        <w:tblCellMar>
          <w:top w:w="0" w:type="dxa"/>
          <w:left w:w="108" w:type="dxa"/>
          <w:bottom w:w="0" w:type="dxa"/>
          <w:right w:w="108" w:type="dxa"/>
        </w:tblCellMar>
      </w:tblPr>
      <w:tblGrid>
        <w:gridCol w:w="2370"/>
        <w:gridCol w:w="2462"/>
        <w:gridCol w:w="2462"/>
        <w:gridCol w:w="1848"/>
      </w:tblGrid>
      <w:tr>
        <w:tblPrEx>
          <w:tblCellMar>
            <w:top w:w="0" w:type="dxa"/>
            <w:left w:w="108" w:type="dxa"/>
            <w:bottom w:w="0" w:type="dxa"/>
            <w:right w:w="108" w:type="dxa"/>
          </w:tblCellMar>
        </w:tblPrEx>
        <w:trPr>
          <w:trHeight w:val="170" w:hRule="atLeast"/>
          <w:jc w:val="center"/>
        </w:trPr>
        <w:tc>
          <w:tcPr>
            <w:tcW w:w="2370"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行政区划</w:t>
            </w:r>
          </w:p>
        </w:tc>
        <w:tc>
          <w:tcPr>
            <w:tcW w:w="0" w:type="auto"/>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修改前规模（公顷）</w:t>
            </w:r>
          </w:p>
        </w:tc>
        <w:tc>
          <w:tcPr>
            <w:tcW w:w="0" w:type="auto"/>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修改后规模（公顷）</w:t>
            </w:r>
          </w:p>
        </w:tc>
        <w:tc>
          <w:tcPr>
            <w:tcW w:w="0" w:type="auto"/>
            <w:tcBorders>
              <w:top w:val="single" w:color="auto" w:sz="8" w:space="0"/>
              <w:left w:val="nil"/>
              <w:bottom w:val="single" w:color="auto" w:sz="4" w:space="0"/>
              <w:right w:val="nil"/>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修改后-修改前</w:t>
            </w:r>
            <w:r>
              <w:rPr>
                <w:rFonts w:hint="eastAsia" w:ascii="仿宋_GB2312" w:hAnsi="Tahoma" w:cs="Tahoma"/>
                <w:b/>
                <w:bCs/>
                <w:color w:val="000000"/>
                <w:kern w:val="0"/>
                <w:sz w:val="21"/>
                <w:szCs w:val="21"/>
              </w:rPr>
              <w:br w:type="textWrapping"/>
            </w:r>
            <w:r>
              <w:rPr>
                <w:rFonts w:hint="eastAsia" w:ascii="仿宋_GB2312" w:hAnsi="Tahoma" w:cs="Tahoma"/>
                <w:b/>
                <w:bCs/>
                <w:color w:val="000000"/>
                <w:kern w:val="0"/>
                <w:sz w:val="21"/>
                <w:szCs w:val="21"/>
              </w:rPr>
              <w:t>（公顷）</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耒阳市</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62467.00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63420.00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953.00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蔡子池街道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灶市街道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1730.00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1780.00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50.00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水东江街道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2300.00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2350.00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50.00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五里牌街道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40.00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三架街道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760.00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810.00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50.00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余庆街道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3189.00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3230.00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41.00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新市镇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2319.00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2350.00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31.00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遥田镇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1560.00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1570.00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夏塘镇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1930.00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1960.00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30.00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南京镇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2098.00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2110.00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12.00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公平圩镇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2348.00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2360.00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12.00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黄市镇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975.00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980.00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小水镇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3370.00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3440.00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70.00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哲桥镇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3088.00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3140.00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52.00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三都镇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2834.00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2860.00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26.00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永济镇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2045.00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2080.00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35.00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龙塘镇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1438.00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1470.00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32.00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大市镇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3427.00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3460.00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33.00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淝田镇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1970.00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1990.00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20.00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南阳镇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1932.00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1980.00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48.00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仁义镇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2519.00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2550.00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31.00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导子镇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2455.00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2490.00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35.00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马水镇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3876.00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3930.00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54.00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东湖圩镇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2112.00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大义镇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1687.00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1710.00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23.00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大和圩乡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2814.00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2840.00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26.00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坛下乡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2095.00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25.00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长坪乡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2065.00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2100.00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35.00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太平圩乡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1313.00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1350.00 </w:t>
            </w:r>
          </w:p>
        </w:tc>
        <w:tc>
          <w:tcPr>
            <w:tcW w:w="0" w:type="auto"/>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37.00 </w:t>
            </w:r>
          </w:p>
        </w:tc>
      </w:tr>
      <w:tr>
        <w:tblPrEx>
          <w:tblCellMar>
            <w:top w:w="0" w:type="dxa"/>
            <w:left w:w="108" w:type="dxa"/>
            <w:bottom w:w="0" w:type="dxa"/>
            <w:right w:w="108" w:type="dxa"/>
          </w:tblCellMar>
        </w:tblPrEx>
        <w:trPr>
          <w:trHeight w:val="170" w:hRule="atLeast"/>
          <w:jc w:val="center"/>
        </w:trPr>
        <w:tc>
          <w:tcPr>
            <w:tcW w:w="2370"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亮源乡</w:t>
            </w:r>
          </w:p>
        </w:tc>
        <w:tc>
          <w:tcPr>
            <w:tcW w:w="0" w:type="auto"/>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2058.00 </w:t>
            </w:r>
          </w:p>
        </w:tc>
        <w:tc>
          <w:tcPr>
            <w:tcW w:w="0" w:type="auto"/>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2090.00 </w:t>
            </w:r>
          </w:p>
        </w:tc>
        <w:tc>
          <w:tcPr>
            <w:tcW w:w="0" w:type="auto"/>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32.00 </w:t>
            </w:r>
          </w:p>
        </w:tc>
      </w:tr>
    </w:tbl>
    <w:p>
      <w:pPr>
        <w:pStyle w:val="17"/>
      </w:pPr>
      <w:r>
        <w:rPr>
          <w:rFonts w:hint="eastAsia"/>
        </w:rPr>
        <w:t>表4-3  耒阳市各乡镇基本农田保护目标调整情况表</w:t>
      </w:r>
    </w:p>
    <w:tbl>
      <w:tblPr>
        <w:tblStyle w:val="22"/>
        <w:tblW w:w="9081" w:type="dxa"/>
        <w:jc w:val="center"/>
        <w:tblLayout w:type="autofit"/>
        <w:tblCellMar>
          <w:top w:w="0" w:type="dxa"/>
          <w:left w:w="108" w:type="dxa"/>
          <w:bottom w:w="0" w:type="dxa"/>
          <w:right w:w="108" w:type="dxa"/>
        </w:tblCellMar>
      </w:tblPr>
      <w:tblGrid>
        <w:gridCol w:w="2419"/>
        <w:gridCol w:w="2197"/>
        <w:gridCol w:w="2339"/>
        <w:gridCol w:w="2126"/>
      </w:tblGrid>
      <w:tr>
        <w:tblPrEx>
          <w:tblCellMar>
            <w:top w:w="0" w:type="dxa"/>
            <w:left w:w="108" w:type="dxa"/>
            <w:bottom w:w="0" w:type="dxa"/>
            <w:right w:w="108" w:type="dxa"/>
          </w:tblCellMar>
        </w:tblPrEx>
        <w:trPr>
          <w:trHeight w:val="304" w:hRule="atLeast"/>
          <w:jc w:val="center"/>
        </w:trPr>
        <w:tc>
          <w:tcPr>
            <w:tcW w:w="2419"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行政区划</w:t>
            </w:r>
          </w:p>
        </w:tc>
        <w:tc>
          <w:tcPr>
            <w:tcW w:w="2197"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修改前规模（公顷）</w:t>
            </w:r>
          </w:p>
        </w:tc>
        <w:tc>
          <w:tcPr>
            <w:tcW w:w="2339"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修改后规模（公顷）</w:t>
            </w:r>
          </w:p>
        </w:tc>
        <w:tc>
          <w:tcPr>
            <w:tcW w:w="2126" w:type="dxa"/>
            <w:tcBorders>
              <w:top w:val="single" w:color="auto" w:sz="8" w:space="0"/>
              <w:left w:val="nil"/>
              <w:bottom w:val="single" w:color="auto" w:sz="4" w:space="0"/>
              <w:right w:val="nil"/>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修改后-修改前</w:t>
            </w:r>
            <w:r>
              <w:rPr>
                <w:rFonts w:hint="eastAsia" w:ascii="仿宋_GB2312" w:hAnsi="Tahoma" w:cs="Tahoma"/>
                <w:b/>
                <w:bCs/>
                <w:color w:val="000000"/>
                <w:kern w:val="0"/>
                <w:sz w:val="21"/>
                <w:szCs w:val="21"/>
              </w:rPr>
              <w:br w:type="textWrapping"/>
            </w:r>
            <w:r>
              <w:rPr>
                <w:rFonts w:hint="eastAsia" w:ascii="仿宋_GB2312" w:hAnsi="Tahoma" w:cs="Tahoma"/>
                <w:b/>
                <w:bCs/>
                <w:color w:val="000000"/>
                <w:kern w:val="0"/>
                <w:sz w:val="21"/>
                <w:szCs w:val="21"/>
              </w:rPr>
              <w:t>（公顷）</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耒阳市</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52450.00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53130.00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680.00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蔡子池街道</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灶市街道</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1110.00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1430.00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320.00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水东江街道</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1378.00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1760.00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382.00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五里牌街道</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80.00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-50.00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三架街道</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560.00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740.00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180.00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余庆街道</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2165.00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2445.00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280.00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新市镇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2178.00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2125.00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-53.00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遥田镇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1435.00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1426.00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夏塘镇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1730.00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1660.00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-70.00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南京镇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1885.00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1844.00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-41.00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公平圩镇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2176.00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2037.00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-139.00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黄市镇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755.00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666.00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-89.00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小水镇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2990.00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2838.00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-152.00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哲桥镇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2570.00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2545.00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-25.00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三都镇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2180.00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2127.00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-53.00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永济镇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1890.00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1986.00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96.00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龙塘镇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1138.00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109</w:t>
            </w:r>
            <w:r>
              <w:rPr>
                <w:rFonts w:hint="eastAsia" w:eastAsia="宋体" w:cs="Times New Roman"/>
                <w:color w:val="000000"/>
                <w:kern w:val="0"/>
                <w:sz w:val="21"/>
                <w:szCs w:val="21"/>
              </w:rPr>
              <w:t>3</w:t>
            </w:r>
            <w:r>
              <w:rPr>
                <w:rFonts w:eastAsia="宋体" w:cs="Times New Roman"/>
                <w:color w:val="000000"/>
                <w:kern w:val="0"/>
                <w:sz w:val="21"/>
                <w:szCs w:val="21"/>
              </w:rPr>
              <w:t xml:space="preserve">.00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-45.00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大市镇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2602.00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2735.00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133.00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淝田镇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1688.00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179</w:t>
            </w:r>
            <w:r>
              <w:rPr>
                <w:rFonts w:hint="eastAsia" w:eastAsia="宋体" w:cs="Times New Roman"/>
                <w:color w:val="000000"/>
                <w:kern w:val="0"/>
                <w:sz w:val="21"/>
                <w:szCs w:val="21"/>
              </w:rPr>
              <w:t>5</w:t>
            </w:r>
            <w:r>
              <w:rPr>
                <w:rFonts w:eastAsia="宋体" w:cs="Times New Roman"/>
                <w:color w:val="000000"/>
                <w:kern w:val="0"/>
                <w:sz w:val="21"/>
                <w:szCs w:val="21"/>
              </w:rPr>
              <w:t xml:space="preserve">.00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107.00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南阳镇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1556.00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1500.00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-56.00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仁义镇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2438.00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2375.00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-63.00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导子镇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2016.00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2015.00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马水镇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3626.00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3649.00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23.00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东湖圩镇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1648.00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1583.00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-65.00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大义镇</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1558.00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1490.00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-68.00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大和圩乡</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2602.00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2516.00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-86.00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坛下乡</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1920.00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1865.00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-55.00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长坪乡</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1410.00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1746.00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336.00 </w:t>
            </w:r>
          </w:p>
        </w:tc>
      </w:tr>
      <w:tr>
        <w:tblPrEx>
          <w:tblCellMar>
            <w:top w:w="0" w:type="dxa"/>
            <w:left w:w="108" w:type="dxa"/>
            <w:bottom w:w="0" w:type="dxa"/>
            <w:right w:w="108" w:type="dxa"/>
          </w:tblCellMar>
        </w:tblPrEx>
        <w:trPr>
          <w:trHeight w:val="285" w:hRule="atLeast"/>
          <w:jc w:val="center"/>
        </w:trPr>
        <w:tc>
          <w:tcPr>
            <w:tcW w:w="24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太平圩乡</w:t>
            </w:r>
          </w:p>
        </w:tc>
        <w:tc>
          <w:tcPr>
            <w:tcW w:w="219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1116.00 </w:t>
            </w:r>
          </w:p>
        </w:tc>
        <w:tc>
          <w:tcPr>
            <w:tcW w:w="233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1059.00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-57.00 </w:t>
            </w:r>
          </w:p>
        </w:tc>
      </w:tr>
      <w:tr>
        <w:tblPrEx>
          <w:tblCellMar>
            <w:top w:w="0" w:type="dxa"/>
            <w:left w:w="108" w:type="dxa"/>
            <w:bottom w:w="0" w:type="dxa"/>
            <w:right w:w="108" w:type="dxa"/>
          </w:tblCellMar>
        </w:tblPrEx>
        <w:trPr>
          <w:trHeight w:val="300" w:hRule="atLeast"/>
          <w:jc w:val="center"/>
        </w:trPr>
        <w:tc>
          <w:tcPr>
            <w:tcW w:w="2419"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亮源乡</w:t>
            </w:r>
          </w:p>
        </w:tc>
        <w:tc>
          <w:tcPr>
            <w:tcW w:w="2197"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2050.00 </w:t>
            </w:r>
          </w:p>
        </w:tc>
        <w:tc>
          <w:tcPr>
            <w:tcW w:w="2339"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2050.00 </w:t>
            </w:r>
          </w:p>
        </w:tc>
        <w:tc>
          <w:tcPr>
            <w:tcW w:w="2126"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r>
    </w:tbl>
    <w:p>
      <w:pPr>
        <w:pStyle w:val="17"/>
      </w:pPr>
      <w:r>
        <w:rPr>
          <w:rFonts w:hint="eastAsia"/>
        </w:rPr>
        <w:t>表4-4  耒阳市各乡镇建设用地总规模调整情况表</w:t>
      </w:r>
    </w:p>
    <w:tbl>
      <w:tblPr>
        <w:tblStyle w:val="22"/>
        <w:tblW w:w="0" w:type="auto"/>
        <w:jc w:val="center"/>
        <w:tblLayout w:type="autofit"/>
        <w:tblCellMar>
          <w:top w:w="0" w:type="dxa"/>
          <w:left w:w="108" w:type="dxa"/>
          <w:bottom w:w="0" w:type="dxa"/>
          <w:right w:w="108" w:type="dxa"/>
        </w:tblCellMar>
      </w:tblPr>
      <w:tblGrid>
        <w:gridCol w:w="2199"/>
        <w:gridCol w:w="2237"/>
        <w:gridCol w:w="2127"/>
        <w:gridCol w:w="2126"/>
      </w:tblGrid>
      <w:tr>
        <w:tblPrEx>
          <w:tblCellMar>
            <w:top w:w="0" w:type="dxa"/>
            <w:left w:w="108" w:type="dxa"/>
            <w:bottom w:w="0" w:type="dxa"/>
            <w:right w:w="108" w:type="dxa"/>
          </w:tblCellMar>
        </w:tblPrEx>
        <w:trPr>
          <w:trHeight w:val="170" w:hRule="atLeast"/>
          <w:jc w:val="center"/>
        </w:trPr>
        <w:tc>
          <w:tcPr>
            <w:tcW w:w="2199"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行政区划</w:t>
            </w:r>
          </w:p>
        </w:tc>
        <w:tc>
          <w:tcPr>
            <w:tcW w:w="2237"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修改前规模（公顷）</w:t>
            </w:r>
          </w:p>
        </w:tc>
        <w:tc>
          <w:tcPr>
            <w:tcW w:w="2127"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修改后规模（公顷）</w:t>
            </w:r>
          </w:p>
        </w:tc>
        <w:tc>
          <w:tcPr>
            <w:tcW w:w="2126" w:type="dxa"/>
            <w:tcBorders>
              <w:top w:val="single" w:color="auto" w:sz="8" w:space="0"/>
              <w:left w:val="nil"/>
              <w:bottom w:val="single" w:color="auto" w:sz="4" w:space="0"/>
              <w:right w:val="nil"/>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修改后-修改前</w:t>
            </w:r>
            <w:r>
              <w:rPr>
                <w:rFonts w:hint="eastAsia" w:ascii="仿宋_GB2312" w:hAnsi="Tahoma" w:cs="Tahoma"/>
                <w:b/>
                <w:bCs/>
                <w:color w:val="000000"/>
                <w:kern w:val="0"/>
                <w:sz w:val="21"/>
                <w:szCs w:val="21"/>
              </w:rPr>
              <w:br w:type="textWrapping"/>
            </w:r>
            <w:r>
              <w:rPr>
                <w:rFonts w:hint="eastAsia" w:ascii="仿宋_GB2312" w:hAnsi="Tahoma" w:cs="Tahoma"/>
                <w:b/>
                <w:bCs/>
                <w:color w:val="000000"/>
                <w:kern w:val="0"/>
                <w:sz w:val="21"/>
                <w:szCs w:val="21"/>
              </w:rPr>
              <w:t>（公顷）</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耒阳市</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23407.79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23407.79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0.00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蔡子池街道</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1010.61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969.81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-40.80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灶市街道</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1546.30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1795.17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248.87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水东江街道</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1856.62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1933.71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77.09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五里牌街道</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1353.15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1146.38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-206.77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三架街道</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2134.69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2018.43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-116.26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余庆街道</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1367.42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1482.27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114.85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新市镇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682.85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672.48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-10.37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遥田镇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960.34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954.57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-5.77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夏塘镇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424.63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425.81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1.18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南京镇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339.32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345.61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6.29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公平圩镇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797.21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786.18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-11.03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黄市镇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575.75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585.92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10.17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小水镇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1181.12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1169.24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-11.88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哲桥镇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908.09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935.30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27.21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三都镇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706.92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697.87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-9.05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永济镇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576.99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571.39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-5.60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龙塘镇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391.74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385.94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-5.80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大市镇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1042.28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1103.47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61.19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淝田镇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351.70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348.35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-3.35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南阳镇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553.01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542.81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-10.20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仁义镇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488.54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455.83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-32.71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导子镇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527.87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518.58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-9.29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马水镇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895.17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870.98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-24.19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东湖圩镇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596.11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594.17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-1.94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大义镇</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454.92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445.48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-9.44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大和圩乡</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528.69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520.25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-8.44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坛下乡</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264.36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254.26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-10.10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长坪乡</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313.97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307.67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-6.30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太平圩乡</w:t>
            </w:r>
          </w:p>
        </w:tc>
        <w:tc>
          <w:tcPr>
            <w:tcW w:w="223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217.41 </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211.50 </w:t>
            </w:r>
          </w:p>
        </w:tc>
        <w:tc>
          <w:tcPr>
            <w:tcW w:w="2126"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-5.91 </w:t>
            </w:r>
          </w:p>
        </w:tc>
      </w:tr>
      <w:tr>
        <w:tblPrEx>
          <w:tblCellMar>
            <w:top w:w="0" w:type="dxa"/>
            <w:left w:w="108" w:type="dxa"/>
            <w:bottom w:w="0" w:type="dxa"/>
            <w:right w:w="108" w:type="dxa"/>
          </w:tblCellMar>
        </w:tblPrEx>
        <w:trPr>
          <w:trHeight w:val="170" w:hRule="atLeast"/>
          <w:jc w:val="center"/>
        </w:trPr>
        <w:tc>
          <w:tcPr>
            <w:tcW w:w="2199"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亮源乡</w:t>
            </w:r>
          </w:p>
        </w:tc>
        <w:tc>
          <w:tcPr>
            <w:tcW w:w="2237"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360.01 </w:t>
            </w:r>
          </w:p>
        </w:tc>
        <w:tc>
          <w:tcPr>
            <w:tcW w:w="2127"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358.36 </w:t>
            </w:r>
          </w:p>
        </w:tc>
        <w:tc>
          <w:tcPr>
            <w:tcW w:w="2126"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-1.65 </w:t>
            </w:r>
          </w:p>
        </w:tc>
      </w:tr>
    </w:tbl>
    <w:p>
      <w:pPr>
        <w:pStyle w:val="17"/>
      </w:pPr>
      <w:r>
        <w:rPr>
          <w:rFonts w:hint="eastAsia"/>
        </w:rPr>
        <w:t>表4-5  耒阳市各乡镇城乡建设用地规模调整情况表</w:t>
      </w:r>
    </w:p>
    <w:tbl>
      <w:tblPr>
        <w:tblStyle w:val="22"/>
        <w:tblW w:w="0" w:type="auto"/>
        <w:jc w:val="center"/>
        <w:tblLayout w:type="autofit"/>
        <w:tblCellMar>
          <w:top w:w="0" w:type="dxa"/>
          <w:left w:w="108" w:type="dxa"/>
          <w:bottom w:w="0" w:type="dxa"/>
          <w:right w:w="108" w:type="dxa"/>
        </w:tblCellMar>
      </w:tblPr>
      <w:tblGrid>
        <w:gridCol w:w="2493"/>
        <w:gridCol w:w="2384"/>
        <w:gridCol w:w="2321"/>
        <w:gridCol w:w="2165"/>
      </w:tblGrid>
      <w:tr>
        <w:tblPrEx>
          <w:tblCellMar>
            <w:top w:w="0" w:type="dxa"/>
            <w:left w:w="108" w:type="dxa"/>
            <w:bottom w:w="0" w:type="dxa"/>
            <w:right w:w="108" w:type="dxa"/>
          </w:tblCellMar>
        </w:tblPrEx>
        <w:trPr>
          <w:trHeight w:val="170" w:hRule="atLeast"/>
          <w:jc w:val="center"/>
        </w:trPr>
        <w:tc>
          <w:tcPr>
            <w:tcW w:w="2493"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行政区划</w:t>
            </w:r>
          </w:p>
        </w:tc>
        <w:tc>
          <w:tcPr>
            <w:tcW w:w="2384"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修改前规模（公顷）</w:t>
            </w:r>
          </w:p>
        </w:tc>
        <w:tc>
          <w:tcPr>
            <w:tcW w:w="2321"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修改后规模（公顷）</w:t>
            </w:r>
          </w:p>
        </w:tc>
        <w:tc>
          <w:tcPr>
            <w:tcW w:w="2165" w:type="dxa"/>
            <w:tcBorders>
              <w:top w:val="single" w:color="auto" w:sz="8" w:space="0"/>
              <w:left w:val="nil"/>
              <w:bottom w:val="single" w:color="auto" w:sz="4" w:space="0"/>
              <w:right w:val="nil"/>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修改后-修改前</w:t>
            </w:r>
            <w:r>
              <w:rPr>
                <w:rFonts w:hint="eastAsia" w:ascii="仿宋_GB2312" w:hAnsi="Tahoma" w:cs="Tahoma"/>
                <w:b/>
                <w:bCs/>
                <w:color w:val="000000"/>
                <w:kern w:val="0"/>
                <w:sz w:val="21"/>
                <w:szCs w:val="21"/>
              </w:rPr>
              <w:br w:type="textWrapping"/>
            </w:r>
            <w:r>
              <w:rPr>
                <w:rFonts w:hint="eastAsia" w:ascii="仿宋_GB2312" w:hAnsi="Tahoma" w:cs="Tahoma"/>
                <w:b/>
                <w:bCs/>
                <w:color w:val="000000"/>
                <w:kern w:val="0"/>
                <w:sz w:val="21"/>
                <w:szCs w:val="21"/>
              </w:rPr>
              <w:t>（公顷）</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耒阳市</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19959.21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19679.16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-280.05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蔡子池街道</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946.77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905.97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-40.80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灶市街道</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1250.74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1277.68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26.94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水东江街道</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1679.59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1753.53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73.94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五里牌街道</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1291.60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1084.83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-206.77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三架街道</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2079.91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1964.07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-115.84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余庆街道</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1179.63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1294.74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115.11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新市镇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605.36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594.97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-10.39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遥田镇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461.27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455.66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-5.61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夏塘镇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361.87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363.07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1.20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南京镇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269.57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275.98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6.41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公平圩镇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543.59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532.58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-11.01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黄市镇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488.40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498.37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9.97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小水镇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900.46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832.64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-67.82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哲桥镇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742.97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770.23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27.26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三都镇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583.15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574.10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-9.05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永济镇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488.49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482.92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-5.57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龙塘镇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335.89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330.10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-5.79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大市镇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923.49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984.73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61.24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淝田镇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300.58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297.23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-3.35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南阳镇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486.37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476.19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-10.18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仁义镇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453.39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420.68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-32.71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导子镇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457.24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447.98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-9.26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马水镇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843.57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819.37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-24.20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东湖圩镇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526.04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524.09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-1.95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大义镇</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396.56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387.13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-9.43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大和圩乡</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374.38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365.93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-8.45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坛下乡</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223.83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213.74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-10.09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长坪乡</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281.66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275.34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-6.32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太平圩乡</w:t>
            </w:r>
          </w:p>
        </w:tc>
        <w:tc>
          <w:tcPr>
            <w:tcW w:w="23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163.56 </w:t>
            </w:r>
          </w:p>
        </w:tc>
        <w:tc>
          <w:tcPr>
            <w:tcW w:w="232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157.65 </w:t>
            </w:r>
          </w:p>
        </w:tc>
        <w:tc>
          <w:tcPr>
            <w:tcW w:w="2165"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-5.91 </w:t>
            </w:r>
          </w:p>
        </w:tc>
      </w:tr>
      <w:tr>
        <w:tblPrEx>
          <w:tblCellMar>
            <w:top w:w="0" w:type="dxa"/>
            <w:left w:w="108" w:type="dxa"/>
            <w:bottom w:w="0" w:type="dxa"/>
            <w:right w:w="108" w:type="dxa"/>
          </w:tblCellMar>
        </w:tblPrEx>
        <w:trPr>
          <w:trHeight w:val="170" w:hRule="atLeast"/>
          <w:jc w:val="center"/>
        </w:trPr>
        <w:tc>
          <w:tcPr>
            <w:tcW w:w="2493"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亮源乡</w:t>
            </w:r>
          </w:p>
        </w:tc>
        <w:tc>
          <w:tcPr>
            <w:tcW w:w="2384"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319.28 </w:t>
            </w:r>
          </w:p>
        </w:tc>
        <w:tc>
          <w:tcPr>
            <w:tcW w:w="2321"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317.66 </w:t>
            </w:r>
          </w:p>
        </w:tc>
        <w:tc>
          <w:tcPr>
            <w:tcW w:w="2165"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-1.62 </w:t>
            </w:r>
          </w:p>
        </w:tc>
      </w:tr>
    </w:tbl>
    <w:p>
      <w:pPr>
        <w:pStyle w:val="17"/>
        <w:rPr>
          <w:szCs w:val="21"/>
        </w:rPr>
      </w:pPr>
      <w:r>
        <w:rPr>
          <w:rFonts w:hint="eastAsia"/>
          <w:szCs w:val="21"/>
        </w:rPr>
        <w:t>表4-6  耒阳市各乡镇城镇工矿用地规模调整情况表</w:t>
      </w:r>
    </w:p>
    <w:tbl>
      <w:tblPr>
        <w:tblStyle w:val="22"/>
        <w:tblW w:w="0" w:type="auto"/>
        <w:jc w:val="center"/>
        <w:tblLayout w:type="autofit"/>
        <w:tblCellMar>
          <w:top w:w="0" w:type="dxa"/>
          <w:left w:w="108" w:type="dxa"/>
          <w:bottom w:w="0" w:type="dxa"/>
          <w:right w:w="108" w:type="dxa"/>
        </w:tblCellMar>
      </w:tblPr>
      <w:tblGrid>
        <w:gridCol w:w="2593"/>
        <w:gridCol w:w="2501"/>
        <w:gridCol w:w="2109"/>
        <w:gridCol w:w="1959"/>
      </w:tblGrid>
      <w:tr>
        <w:tblPrEx>
          <w:tblCellMar>
            <w:top w:w="0" w:type="dxa"/>
            <w:left w:w="108" w:type="dxa"/>
            <w:bottom w:w="0" w:type="dxa"/>
            <w:right w:w="108" w:type="dxa"/>
          </w:tblCellMar>
        </w:tblPrEx>
        <w:trPr>
          <w:trHeight w:val="171" w:hRule="atLeast"/>
          <w:jc w:val="center"/>
        </w:trPr>
        <w:tc>
          <w:tcPr>
            <w:tcW w:w="2593"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行政区划</w:t>
            </w:r>
          </w:p>
        </w:tc>
        <w:tc>
          <w:tcPr>
            <w:tcW w:w="2501"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修改前规模（公顷）</w:t>
            </w:r>
          </w:p>
        </w:tc>
        <w:tc>
          <w:tcPr>
            <w:tcW w:w="2109"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修改后规模（公顷）</w:t>
            </w:r>
          </w:p>
        </w:tc>
        <w:tc>
          <w:tcPr>
            <w:tcW w:w="1959" w:type="dxa"/>
            <w:tcBorders>
              <w:top w:val="single" w:color="auto" w:sz="8" w:space="0"/>
              <w:left w:val="nil"/>
              <w:bottom w:val="single" w:color="auto" w:sz="4" w:space="0"/>
              <w:right w:val="nil"/>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修改后-修改前</w:t>
            </w:r>
            <w:r>
              <w:rPr>
                <w:rFonts w:hint="eastAsia" w:ascii="仿宋_GB2312" w:hAnsi="Tahoma" w:cs="Tahoma"/>
                <w:b/>
                <w:bCs/>
                <w:color w:val="000000"/>
                <w:kern w:val="0"/>
                <w:sz w:val="21"/>
                <w:szCs w:val="21"/>
              </w:rPr>
              <w:br w:type="textWrapping"/>
            </w:r>
            <w:r>
              <w:rPr>
                <w:rFonts w:hint="eastAsia" w:ascii="仿宋_GB2312" w:hAnsi="Tahoma" w:cs="Tahoma"/>
                <w:b/>
                <w:bCs/>
                <w:color w:val="000000"/>
                <w:kern w:val="0"/>
                <w:sz w:val="21"/>
                <w:szCs w:val="21"/>
              </w:rPr>
              <w:t>（公顷）</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耒阳市</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8066.53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7806.45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-260.08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蔡子池街道</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946.77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905.97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-40.80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灶市街道</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902.38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663.23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-239.15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水东江街道</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1109.81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1193.34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83.53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五里牌街道</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1128.27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920.73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-207.54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三架街道</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1861.83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1730.35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-131.48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余庆街道</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361.01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671.86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310.85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新市镇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131.04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130.90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-0.14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遥田镇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129.28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129.43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0.15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夏塘镇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31.83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32.10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0.27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南京镇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22.79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23.26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0.47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公平圩镇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60.16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53.92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-6.24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黄市镇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161.69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154.41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-7.28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小水镇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303.81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234.23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-69.58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哲桥镇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243.81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264.97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21.16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三都镇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147.22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147.19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-0.03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永济镇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24.74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25.06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0.32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龙塘镇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56.63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56.06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-0.57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大市镇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182.79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248.25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65.46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淝田镇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14.33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14.33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南阳镇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64.47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64.40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-0.07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仁义镇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45.42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14.44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-30.98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导子镇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29.51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27.59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-1.92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马水镇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24.94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24.95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东湖圩镇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17.52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17.52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大义镇</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22.28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22.28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大和圩乡</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19.94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14.73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-5.21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坛下乡</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2.93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2.93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长坪乡</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8.42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8.65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0.23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太平圩乡</w:t>
            </w:r>
          </w:p>
        </w:tc>
        <w:tc>
          <w:tcPr>
            <w:tcW w:w="250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2.37 </w:t>
            </w:r>
          </w:p>
        </w:tc>
        <w:tc>
          <w:tcPr>
            <w:tcW w:w="210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2.24 </w:t>
            </w:r>
          </w:p>
        </w:tc>
        <w:tc>
          <w:tcPr>
            <w:tcW w:w="195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-0.13 </w:t>
            </w:r>
          </w:p>
        </w:tc>
      </w:tr>
      <w:tr>
        <w:tblPrEx>
          <w:tblCellMar>
            <w:top w:w="0" w:type="dxa"/>
            <w:left w:w="108" w:type="dxa"/>
            <w:bottom w:w="0" w:type="dxa"/>
            <w:right w:w="108" w:type="dxa"/>
          </w:tblCellMar>
        </w:tblPrEx>
        <w:trPr>
          <w:trHeight w:val="171" w:hRule="atLeast"/>
          <w:jc w:val="center"/>
        </w:trPr>
        <w:tc>
          <w:tcPr>
            <w:tcW w:w="2593"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亮源乡</w:t>
            </w:r>
          </w:p>
        </w:tc>
        <w:tc>
          <w:tcPr>
            <w:tcW w:w="2501"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8.54 </w:t>
            </w:r>
          </w:p>
        </w:tc>
        <w:tc>
          <w:tcPr>
            <w:tcW w:w="2109"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7.13 </w:t>
            </w:r>
          </w:p>
        </w:tc>
        <w:tc>
          <w:tcPr>
            <w:tcW w:w="1959"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-1.41 </w:t>
            </w:r>
          </w:p>
        </w:tc>
      </w:tr>
    </w:tbl>
    <w:p>
      <w:pPr>
        <w:pStyle w:val="4"/>
        <w:ind w:firstLine="562"/>
      </w:pPr>
      <w:r>
        <w:t>二、增量目标</w:t>
      </w:r>
    </w:p>
    <w:p>
      <w:pPr>
        <w:pStyle w:val="4"/>
        <w:ind w:firstLine="562"/>
      </w:pPr>
      <w:r>
        <w:rPr>
          <w:rFonts w:hint="eastAsia"/>
        </w:rPr>
        <w:t>1、</w:t>
      </w:r>
      <w:r>
        <w:t>新增建设用地规模</w:t>
      </w:r>
    </w:p>
    <w:p>
      <w:pPr>
        <w:ind w:firstLine="560"/>
      </w:pPr>
      <w:r>
        <w:rPr>
          <w:szCs w:val="28"/>
        </w:rPr>
        <w:t>规划修改后，到2020年，耒阳市新</w:t>
      </w:r>
      <w:r>
        <w:t>增建设用地规模控制在</w:t>
      </w:r>
      <w:r>
        <w:rPr>
          <w:rFonts w:hint="eastAsia"/>
        </w:rPr>
        <w:t>6076.82</w:t>
      </w:r>
      <w:r>
        <w:t>公顷</w:t>
      </w:r>
      <w:r>
        <w:rPr>
          <w:rFonts w:hint="eastAsia"/>
        </w:rPr>
        <w:t>以内，</w:t>
      </w:r>
      <w:r>
        <w:t>与规划修改前保持一致</w:t>
      </w:r>
      <w:r>
        <w:rPr>
          <w:rFonts w:hint="eastAsia"/>
        </w:rPr>
        <w:t>（表4-7）。</w:t>
      </w:r>
    </w:p>
    <w:p>
      <w:pPr>
        <w:pStyle w:val="4"/>
        <w:ind w:firstLine="562"/>
      </w:pPr>
      <w:r>
        <w:rPr>
          <w:rFonts w:hint="eastAsia"/>
        </w:rPr>
        <w:t>2、</w:t>
      </w:r>
      <w:r>
        <w:t>新增建设占用农用地规模</w:t>
      </w:r>
    </w:p>
    <w:p>
      <w:pPr>
        <w:ind w:firstLine="560"/>
      </w:pPr>
      <w:r>
        <w:t>规划修改后，到2020年，耒阳市新增建设用地占用农用地规模由规划修改前的</w:t>
      </w:r>
      <w:r>
        <w:rPr>
          <w:rFonts w:hint="eastAsia"/>
        </w:rPr>
        <w:t>5721.68</w:t>
      </w:r>
      <w:r>
        <w:t>公顷调整为</w:t>
      </w:r>
      <w:r>
        <w:rPr>
          <w:rFonts w:hint="eastAsia"/>
        </w:rPr>
        <w:t>5706.54</w:t>
      </w:r>
      <w:r>
        <w:t>公顷，耒阳市新增建设用地占用农用地较规划修改前</w:t>
      </w:r>
      <w:r>
        <w:rPr>
          <w:rFonts w:hint="eastAsia"/>
        </w:rPr>
        <w:t>减少了15.14</w:t>
      </w:r>
      <w:r>
        <w:t>公顷</w:t>
      </w:r>
      <w:r>
        <w:rPr>
          <w:rFonts w:hint="eastAsia"/>
        </w:rPr>
        <w:t>（表4-8）</w:t>
      </w:r>
      <w:r>
        <w:t>。</w:t>
      </w:r>
    </w:p>
    <w:p>
      <w:pPr>
        <w:pStyle w:val="4"/>
        <w:ind w:firstLine="562"/>
      </w:pPr>
      <w:r>
        <w:rPr>
          <w:rFonts w:hint="eastAsia"/>
        </w:rPr>
        <w:t>3、</w:t>
      </w:r>
      <w:r>
        <w:t>新增建设占用耕地规模</w:t>
      </w:r>
    </w:p>
    <w:p>
      <w:pPr>
        <w:ind w:firstLine="560"/>
        <w:rPr>
          <w:szCs w:val="28"/>
        </w:rPr>
      </w:pPr>
      <w:r>
        <w:rPr>
          <w:szCs w:val="28"/>
        </w:rPr>
        <w:t>规划修改后，到2020年，耒</w:t>
      </w:r>
      <w:r>
        <w:t>阳市新增建设用地占用耕地规模由规划修改前的</w:t>
      </w:r>
      <w:r>
        <w:rPr>
          <w:rFonts w:hint="eastAsia"/>
        </w:rPr>
        <w:t>2405.31</w:t>
      </w:r>
      <w:r>
        <w:t>公顷调整为</w:t>
      </w:r>
      <w:r>
        <w:rPr>
          <w:rFonts w:hint="eastAsia"/>
        </w:rPr>
        <w:t>2128.07</w:t>
      </w:r>
      <w:r>
        <w:t>公顷，耒阳市新增建设用地占用耕地规模较规划修改前</w:t>
      </w:r>
      <w:r>
        <w:rPr>
          <w:rFonts w:hint="eastAsia"/>
        </w:rPr>
        <w:t>减少277.24</w:t>
      </w:r>
      <w:r>
        <w:t>公顷</w:t>
      </w:r>
      <w:r>
        <w:rPr>
          <w:rFonts w:hint="eastAsia"/>
        </w:rPr>
        <w:t>（表4-9）</w:t>
      </w:r>
      <w:r>
        <w:t>。</w:t>
      </w:r>
    </w:p>
    <w:p>
      <w:pPr>
        <w:pStyle w:val="4"/>
        <w:ind w:firstLine="562"/>
      </w:pPr>
      <w:r>
        <w:rPr>
          <w:rFonts w:hint="eastAsia"/>
        </w:rPr>
        <w:t>4、</w:t>
      </w:r>
      <w:r>
        <w:t>补充耕地任务量</w:t>
      </w:r>
    </w:p>
    <w:p>
      <w:pPr>
        <w:ind w:firstLine="560"/>
        <w:rPr>
          <w:szCs w:val="28"/>
        </w:rPr>
      </w:pPr>
      <w:r>
        <w:rPr>
          <w:szCs w:val="28"/>
        </w:rPr>
        <w:t>规划修改后，到2020年，耒阳市土地整</w:t>
      </w:r>
      <w:r>
        <w:t>治补充耕地任务目标</w:t>
      </w:r>
      <w:r>
        <w:rPr>
          <w:rFonts w:hint="eastAsia"/>
        </w:rPr>
        <w:t>控制</w:t>
      </w:r>
      <w:r>
        <w:t>在3103.86公顷以内，与规划修改前保持一致</w:t>
      </w:r>
      <w:r>
        <w:rPr>
          <w:rFonts w:hint="eastAsia"/>
        </w:rPr>
        <w:t>（表4-10）</w:t>
      </w:r>
      <w:r>
        <w:rPr>
          <w:szCs w:val="28"/>
        </w:rPr>
        <w:t>。</w:t>
      </w:r>
    </w:p>
    <w:p>
      <w:pPr>
        <w:ind w:firstLine="560"/>
        <w:rPr>
          <w:szCs w:val="28"/>
        </w:rPr>
      </w:pPr>
    </w:p>
    <w:p>
      <w:pPr>
        <w:ind w:firstLine="560"/>
        <w:rPr>
          <w:szCs w:val="28"/>
        </w:rPr>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pStyle w:val="17"/>
      </w:pPr>
      <w:r>
        <w:rPr>
          <w:rFonts w:hint="eastAsia"/>
        </w:rPr>
        <w:t>表4-7  耒阳市各乡镇新增建设用地调整情况表</w:t>
      </w:r>
    </w:p>
    <w:tbl>
      <w:tblPr>
        <w:tblStyle w:val="22"/>
        <w:tblW w:w="0" w:type="auto"/>
        <w:jc w:val="center"/>
        <w:tblLayout w:type="autofit"/>
        <w:tblCellMar>
          <w:top w:w="0" w:type="dxa"/>
          <w:left w:w="108" w:type="dxa"/>
          <w:bottom w:w="0" w:type="dxa"/>
          <w:right w:w="108" w:type="dxa"/>
        </w:tblCellMar>
      </w:tblPr>
      <w:tblGrid>
        <w:gridCol w:w="2568"/>
        <w:gridCol w:w="2476"/>
        <w:gridCol w:w="2089"/>
        <w:gridCol w:w="1939"/>
      </w:tblGrid>
      <w:tr>
        <w:tblPrEx>
          <w:tblCellMar>
            <w:top w:w="0" w:type="dxa"/>
            <w:left w:w="108" w:type="dxa"/>
            <w:bottom w:w="0" w:type="dxa"/>
            <w:right w:w="108" w:type="dxa"/>
          </w:tblCellMar>
        </w:tblPrEx>
        <w:trPr>
          <w:trHeight w:val="170" w:hRule="atLeast"/>
          <w:jc w:val="center"/>
        </w:trPr>
        <w:tc>
          <w:tcPr>
            <w:tcW w:w="2568"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行政区划</w:t>
            </w:r>
          </w:p>
        </w:tc>
        <w:tc>
          <w:tcPr>
            <w:tcW w:w="2476"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修改前规模（公顷）</w:t>
            </w:r>
          </w:p>
        </w:tc>
        <w:tc>
          <w:tcPr>
            <w:tcW w:w="2089"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修改后规模（公顷）</w:t>
            </w:r>
          </w:p>
        </w:tc>
        <w:tc>
          <w:tcPr>
            <w:tcW w:w="1939" w:type="dxa"/>
            <w:tcBorders>
              <w:top w:val="single" w:color="auto" w:sz="8" w:space="0"/>
              <w:left w:val="nil"/>
              <w:bottom w:val="single" w:color="auto" w:sz="4" w:space="0"/>
              <w:right w:val="nil"/>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修改后-修改前</w:t>
            </w:r>
            <w:r>
              <w:rPr>
                <w:rFonts w:hint="eastAsia" w:ascii="仿宋_GB2312" w:hAnsi="Tahoma" w:cs="Tahoma"/>
                <w:b/>
                <w:bCs/>
                <w:color w:val="000000"/>
                <w:kern w:val="0"/>
                <w:sz w:val="21"/>
                <w:szCs w:val="21"/>
              </w:rPr>
              <w:br w:type="textWrapping"/>
            </w:r>
            <w:r>
              <w:rPr>
                <w:rFonts w:hint="eastAsia" w:ascii="仿宋_GB2312" w:hAnsi="Tahoma" w:cs="Tahoma"/>
                <w:b/>
                <w:bCs/>
                <w:color w:val="000000"/>
                <w:kern w:val="0"/>
                <w:sz w:val="21"/>
                <w:szCs w:val="21"/>
              </w:rPr>
              <w:t>（公顷）</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耒阳市</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6076.82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6076.82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0.00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蔡子池街道</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260.78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223.06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-37.72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灶市街道</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394.77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653.31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258.54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水东江街道</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587.15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674.18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87.03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五里牌街道</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768.36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560.75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-207.61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三架街道</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1507.74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1368.74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-139.00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余庆街道</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591.75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672.69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80.94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新市镇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97.98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87.01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-10.97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遥田镇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200.94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195.74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-5.20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夏塘镇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55.33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57.21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1.88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南京镇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45.83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52.08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6.25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公平圩镇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60.86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49.70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-11.16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黄市镇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114.28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129.33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15.05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小水镇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184.60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173.03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-11.57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哲桥镇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162.44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210.66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48.22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三都镇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78.27</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68.58</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-9.69</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永济镇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56.18</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50.25</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-5.93</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龙塘镇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44.15</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37.44</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-6.71</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大市镇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216.23</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296.89</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80.66</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淝田镇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48.06</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44.54</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-3.52</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南阳镇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46.60</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35.84</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-10.76</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仁义镇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35.57</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1.56</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-34.01</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导子镇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65.10</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53.97</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-11.13</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马水镇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71.06</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44.72</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-26.34</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东湖圩镇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48.45</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45.59</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-2.86</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大义镇</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98.96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89.44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-9.52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大和圩乡</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68.82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60.34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-8.48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坛下乡</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46.04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35.66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-10.38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长坪乡</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37.87 </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31.01 </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-6.86 </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太平圩乡</w:t>
            </w:r>
          </w:p>
        </w:tc>
        <w:tc>
          <w:tcPr>
            <w:tcW w:w="24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22.95</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16.72</w:t>
            </w:r>
          </w:p>
        </w:tc>
        <w:tc>
          <w:tcPr>
            <w:tcW w:w="1939"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-6.23</w:t>
            </w:r>
          </w:p>
        </w:tc>
      </w:tr>
      <w:tr>
        <w:tblPrEx>
          <w:tblCellMar>
            <w:top w:w="0" w:type="dxa"/>
            <w:left w:w="108" w:type="dxa"/>
            <w:bottom w:w="0" w:type="dxa"/>
            <w:right w:w="108" w:type="dxa"/>
          </w:tblCellMar>
        </w:tblPrEx>
        <w:trPr>
          <w:trHeight w:val="170" w:hRule="atLeast"/>
          <w:jc w:val="center"/>
        </w:trPr>
        <w:tc>
          <w:tcPr>
            <w:tcW w:w="2568"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亮源乡</w:t>
            </w:r>
          </w:p>
        </w:tc>
        <w:tc>
          <w:tcPr>
            <w:tcW w:w="2476"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59.70 </w:t>
            </w:r>
          </w:p>
        </w:tc>
        <w:tc>
          <w:tcPr>
            <w:tcW w:w="2089"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56.78 </w:t>
            </w:r>
          </w:p>
        </w:tc>
        <w:tc>
          <w:tcPr>
            <w:tcW w:w="1939"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-2.92 </w:t>
            </w:r>
          </w:p>
        </w:tc>
      </w:tr>
    </w:tbl>
    <w:p>
      <w:pPr>
        <w:pStyle w:val="17"/>
      </w:pPr>
      <w:r>
        <w:rPr>
          <w:rFonts w:hint="eastAsia"/>
        </w:rPr>
        <w:t>表4-8  耒阳市各乡镇新增建设占用农用地调整情况表</w:t>
      </w:r>
    </w:p>
    <w:tbl>
      <w:tblPr>
        <w:tblStyle w:val="22"/>
        <w:tblW w:w="0" w:type="auto"/>
        <w:jc w:val="center"/>
        <w:tblLayout w:type="autofit"/>
        <w:tblCellMar>
          <w:top w:w="0" w:type="dxa"/>
          <w:left w:w="108" w:type="dxa"/>
          <w:bottom w:w="0" w:type="dxa"/>
          <w:right w:w="108" w:type="dxa"/>
        </w:tblCellMar>
      </w:tblPr>
      <w:tblGrid>
        <w:gridCol w:w="2610"/>
        <w:gridCol w:w="2517"/>
        <w:gridCol w:w="2123"/>
        <w:gridCol w:w="1971"/>
      </w:tblGrid>
      <w:tr>
        <w:tblPrEx>
          <w:tblCellMar>
            <w:top w:w="0" w:type="dxa"/>
            <w:left w:w="108" w:type="dxa"/>
            <w:bottom w:w="0" w:type="dxa"/>
            <w:right w:w="108" w:type="dxa"/>
          </w:tblCellMar>
        </w:tblPrEx>
        <w:trPr>
          <w:trHeight w:val="170" w:hRule="atLeast"/>
          <w:jc w:val="center"/>
        </w:trPr>
        <w:tc>
          <w:tcPr>
            <w:tcW w:w="2610"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行政区划</w:t>
            </w:r>
          </w:p>
        </w:tc>
        <w:tc>
          <w:tcPr>
            <w:tcW w:w="2517"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修改前规模（公顷）</w:t>
            </w:r>
          </w:p>
        </w:tc>
        <w:tc>
          <w:tcPr>
            <w:tcW w:w="2123"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修改后规模（公顷）</w:t>
            </w:r>
          </w:p>
        </w:tc>
        <w:tc>
          <w:tcPr>
            <w:tcW w:w="1971" w:type="dxa"/>
            <w:tcBorders>
              <w:top w:val="single" w:color="auto" w:sz="8" w:space="0"/>
              <w:left w:val="nil"/>
              <w:bottom w:val="single" w:color="auto" w:sz="4" w:space="0"/>
              <w:right w:val="nil"/>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修改后-修改前</w:t>
            </w:r>
            <w:r>
              <w:rPr>
                <w:rFonts w:hint="eastAsia" w:ascii="仿宋_GB2312" w:hAnsi="Tahoma" w:cs="Tahoma"/>
                <w:b/>
                <w:bCs/>
                <w:color w:val="000000"/>
                <w:kern w:val="0"/>
                <w:sz w:val="21"/>
                <w:szCs w:val="21"/>
              </w:rPr>
              <w:br w:type="textWrapping"/>
            </w:r>
            <w:r>
              <w:rPr>
                <w:rFonts w:hint="eastAsia" w:ascii="仿宋_GB2312" w:hAnsi="Tahoma" w:cs="Tahoma"/>
                <w:b/>
                <w:bCs/>
                <w:color w:val="000000"/>
                <w:kern w:val="0"/>
                <w:sz w:val="21"/>
                <w:szCs w:val="21"/>
              </w:rPr>
              <w:t>（公顷）</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耒阳市</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color w:val="000000"/>
                <w:kern w:val="0"/>
                <w:sz w:val="21"/>
                <w:szCs w:val="21"/>
              </w:rPr>
            </w:pPr>
            <w:r>
              <w:rPr>
                <w:rFonts w:hint="eastAsia" w:eastAsia="宋体" w:cs="Times New Roman"/>
                <w:b/>
                <w:color w:val="000000"/>
                <w:kern w:val="0"/>
                <w:sz w:val="21"/>
                <w:szCs w:val="21"/>
              </w:rPr>
              <w:t xml:space="preserve">5721.68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5706.54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-15.14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蔡子池街道</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248.62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211.98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-36.64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灶市街道</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362.94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602.75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239.81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水东江街道</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529.67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609.67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80.00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五里牌街道</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721.01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515.32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-205.69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三架街道</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1414.32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1275.57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-138.75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余庆街道</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554.16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642.04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87.88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新市镇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94.72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83.47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-11.25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遥田镇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190.19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184.59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-5.60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夏塘镇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54.42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56.30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1.88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南京镇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44.73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50.98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6.25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公平圩镇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59.93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48.77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-11.16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黄市镇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109.08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121.04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11.96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小水镇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179.29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165.59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-13.70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哲桥镇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152.99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207.43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54.44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三都镇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72.55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62.48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-10.07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永济镇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53.81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49.34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-4.47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龙塘镇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43.49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36.17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-7.32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大市镇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210.71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289.85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79.14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淝田镇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46.72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39.42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-7.30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南阳镇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45.38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34.62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-10.76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仁义镇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35.61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1.60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-34.01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导子镇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65.06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54.06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-11.00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马水镇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68.97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41.54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-27.43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东湖圩镇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47.86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45.24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-2.62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大义镇</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91.16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84.54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-6.62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大和圩乡</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63.04 </w:t>
            </w:r>
          </w:p>
        </w:tc>
        <w:tc>
          <w:tcPr>
            <w:tcW w:w="212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53.68 </w:t>
            </w:r>
          </w:p>
        </w:tc>
        <w:tc>
          <w:tcPr>
            <w:tcW w:w="197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-9.36 </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坛下乡</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42.38</w:t>
            </w:r>
          </w:p>
        </w:tc>
        <w:tc>
          <w:tcPr>
            <w:tcW w:w="2123" w:type="dxa"/>
            <w:tcBorders>
              <w:top w:val="nil"/>
              <w:left w:val="nil"/>
              <w:bottom w:val="single" w:color="auto" w:sz="4" w:space="0"/>
              <w:right w:val="single" w:color="auto" w:sz="4" w:space="0"/>
            </w:tcBorders>
            <w:shd w:val="clear" w:color="auto" w:fill="auto"/>
            <w:noWrap/>
            <w:vAlign w:val="center"/>
          </w:tcPr>
          <w:p>
            <w:pPr>
              <w:spacing w:line="240" w:lineRule="auto"/>
              <w:ind w:firstLine="420"/>
              <w:jc w:val="center"/>
              <w:rPr>
                <w:rFonts w:eastAsia="宋体" w:cs="Times New Roman"/>
                <w:color w:val="000000"/>
                <w:kern w:val="0"/>
                <w:sz w:val="21"/>
                <w:szCs w:val="21"/>
              </w:rPr>
            </w:pPr>
            <w:r>
              <w:rPr>
                <w:rFonts w:eastAsia="宋体" w:cs="Times New Roman"/>
                <w:color w:val="000000"/>
                <w:kern w:val="0"/>
                <w:sz w:val="21"/>
                <w:szCs w:val="21"/>
              </w:rPr>
              <w:t>35.20</w:t>
            </w:r>
          </w:p>
        </w:tc>
        <w:tc>
          <w:tcPr>
            <w:tcW w:w="1971" w:type="dxa"/>
            <w:tcBorders>
              <w:top w:val="nil"/>
              <w:left w:val="nil"/>
              <w:bottom w:val="single" w:color="auto" w:sz="4" w:space="0"/>
              <w:right w:val="nil"/>
            </w:tcBorders>
            <w:shd w:val="clear" w:color="auto" w:fill="auto"/>
            <w:noWrap/>
            <w:vAlign w:val="center"/>
          </w:tcPr>
          <w:p>
            <w:pPr>
              <w:spacing w:line="240" w:lineRule="auto"/>
              <w:ind w:firstLine="420"/>
              <w:jc w:val="center"/>
              <w:rPr>
                <w:rFonts w:eastAsia="宋体" w:cs="Times New Roman"/>
                <w:color w:val="000000"/>
                <w:kern w:val="0"/>
                <w:sz w:val="21"/>
                <w:szCs w:val="21"/>
              </w:rPr>
            </w:pPr>
            <w:r>
              <w:rPr>
                <w:rFonts w:eastAsia="宋体" w:cs="Times New Roman"/>
                <w:color w:val="000000"/>
                <w:kern w:val="0"/>
                <w:sz w:val="21"/>
                <w:szCs w:val="21"/>
              </w:rPr>
              <w:t>-7.18</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长坪乡</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37.90</w:t>
            </w:r>
          </w:p>
        </w:tc>
        <w:tc>
          <w:tcPr>
            <w:tcW w:w="2123" w:type="dxa"/>
            <w:tcBorders>
              <w:top w:val="nil"/>
              <w:left w:val="nil"/>
              <w:bottom w:val="single" w:color="auto" w:sz="4" w:space="0"/>
              <w:right w:val="single" w:color="auto" w:sz="4" w:space="0"/>
            </w:tcBorders>
            <w:shd w:val="clear" w:color="auto" w:fill="auto"/>
            <w:noWrap/>
            <w:vAlign w:val="center"/>
          </w:tcPr>
          <w:p>
            <w:pPr>
              <w:spacing w:line="240" w:lineRule="auto"/>
              <w:ind w:firstLine="420"/>
              <w:jc w:val="center"/>
              <w:rPr>
                <w:rFonts w:eastAsia="宋体" w:cs="Times New Roman"/>
                <w:color w:val="000000"/>
                <w:kern w:val="0"/>
                <w:sz w:val="21"/>
                <w:szCs w:val="21"/>
              </w:rPr>
            </w:pPr>
            <w:r>
              <w:rPr>
                <w:rFonts w:eastAsia="宋体" w:cs="Times New Roman"/>
                <w:color w:val="000000"/>
                <w:kern w:val="0"/>
                <w:sz w:val="21"/>
                <w:szCs w:val="21"/>
              </w:rPr>
              <w:t>31.04</w:t>
            </w:r>
          </w:p>
        </w:tc>
        <w:tc>
          <w:tcPr>
            <w:tcW w:w="1971" w:type="dxa"/>
            <w:tcBorders>
              <w:top w:val="nil"/>
              <w:left w:val="nil"/>
              <w:bottom w:val="single" w:color="auto" w:sz="4" w:space="0"/>
              <w:right w:val="nil"/>
            </w:tcBorders>
            <w:shd w:val="clear" w:color="auto" w:fill="auto"/>
            <w:noWrap/>
            <w:vAlign w:val="center"/>
          </w:tcPr>
          <w:p>
            <w:pPr>
              <w:spacing w:line="240" w:lineRule="auto"/>
              <w:ind w:firstLine="420"/>
              <w:jc w:val="center"/>
              <w:rPr>
                <w:rFonts w:eastAsia="宋体" w:cs="Times New Roman"/>
                <w:color w:val="000000"/>
                <w:kern w:val="0"/>
                <w:sz w:val="21"/>
                <w:szCs w:val="21"/>
              </w:rPr>
            </w:pPr>
            <w:r>
              <w:rPr>
                <w:rFonts w:eastAsia="宋体" w:cs="Times New Roman"/>
                <w:color w:val="000000"/>
                <w:kern w:val="0"/>
                <w:sz w:val="21"/>
                <w:szCs w:val="21"/>
              </w:rPr>
              <w:t>-6.86</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太平圩乡</w:t>
            </w:r>
          </w:p>
        </w:tc>
        <w:tc>
          <w:tcPr>
            <w:tcW w:w="25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21.60</w:t>
            </w:r>
          </w:p>
        </w:tc>
        <w:tc>
          <w:tcPr>
            <w:tcW w:w="2123" w:type="dxa"/>
            <w:tcBorders>
              <w:top w:val="nil"/>
              <w:left w:val="nil"/>
              <w:bottom w:val="single" w:color="auto" w:sz="4" w:space="0"/>
              <w:right w:val="single" w:color="auto" w:sz="4" w:space="0"/>
            </w:tcBorders>
            <w:shd w:val="clear" w:color="auto" w:fill="auto"/>
            <w:noWrap/>
            <w:vAlign w:val="center"/>
          </w:tcPr>
          <w:p>
            <w:pPr>
              <w:spacing w:line="240" w:lineRule="auto"/>
              <w:ind w:firstLine="420"/>
              <w:jc w:val="center"/>
              <w:rPr>
                <w:rFonts w:eastAsia="宋体" w:cs="Times New Roman"/>
                <w:color w:val="000000"/>
                <w:kern w:val="0"/>
                <w:sz w:val="21"/>
                <w:szCs w:val="21"/>
              </w:rPr>
            </w:pPr>
            <w:r>
              <w:rPr>
                <w:rFonts w:eastAsia="宋体" w:cs="Times New Roman"/>
                <w:color w:val="000000"/>
                <w:kern w:val="0"/>
                <w:sz w:val="21"/>
                <w:szCs w:val="21"/>
              </w:rPr>
              <w:t>15.90</w:t>
            </w:r>
          </w:p>
        </w:tc>
        <w:tc>
          <w:tcPr>
            <w:tcW w:w="1971" w:type="dxa"/>
            <w:tcBorders>
              <w:top w:val="nil"/>
              <w:left w:val="nil"/>
              <w:bottom w:val="single" w:color="auto" w:sz="4" w:space="0"/>
              <w:right w:val="nil"/>
            </w:tcBorders>
            <w:shd w:val="clear" w:color="auto" w:fill="auto"/>
            <w:noWrap/>
            <w:vAlign w:val="center"/>
          </w:tcPr>
          <w:p>
            <w:pPr>
              <w:spacing w:line="240" w:lineRule="auto"/>
              <w:ind w:firstLine="420"/>
              <w:jc w:val="center"/>
              <w:rPr>
                <w:rFonts w:eastAsia="宋体" w:cs="Times New Roman"/>
                <w:color w:val="000000"/>
                <w:kern w:val="0"/>
                <w:sz w:val="21"/>
                <w:szCs w:val="21"/>
              </w:rPr>
            </w:pPr>
            <w:r>
              <w:rPr>
                <w:rFonts w:eastAsia="宋体" w:cs="Times New Roman"/>
                <w:color w:val="000000"/>
                <w:kern w:val="0"/>
                <w:sz w:val="21"/>
                <w:szCs w:val="21"/>
              </w:rPr>
              <w:t>-5.70</w:t>
            </w:r>
          </w:p>
        </w:tc>
      </w:tr>
      <w:tr>
        <w:tblPrEx>
          <w:tblCellMar>
            <w:top w:w="0" w:type="dxa"/>
            <w:left w:w="108" w:type="dxa"/>
            <w:bottom w:w="0" w:type="dxa"/>
            <w:right w:w="108" w:type="dxa"/>
          </w:tblCellMar>
        </w:tblPrEx>
        <w:trPr>
          <w:trHeight w:val="170" w:hRule="atLeast"/>
          <w:jc w:val="center"/>
        </w:trPr>
        <w:tc>
          <w:tcPr>
            <w:tcW w:w="2610"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亮源乡</w:t>
            </w:r>
          </w:p>
        </w:tc>
        <w:tc>
          <w:tcPr>
            <w:tcW w:w="2517"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59.37 </w:t>
            </w:r>
          </w:p>
        </w:tc>
        <w:tc>
          <w:tcPr>
            <w:tcW w:w="2123" w:type="dxa"/>
            <w:tcBorders>
              <w:top w:val="nil"/>
              <w:left w:val="nil"/>
              <w:bottom w:val="single" w:color="auto" w:sz="8" w:space="0"/>
              <w:right w:val="single" w:color="auto" w:sz="4" w:space="0"/>
            </w:tcBorders>
            <w:shd w:val="clear" w:color="auto" w:fill="auto"/>
            <w:noWrap/>
            <w:vAlign w:val="center"/>
          </w:tcPr>
          <w:p>
            <w:pPr>
              <w:spacing w:line="240" w:lineRule="auto"/>
              <w:ind w:firstLine="420"/>
              <w:jc w:val="center"/>
              <w:rPr>
                <w:rFonts w:eastAsia="宋体" w:cs="Times New Roman"/>
                <w:color w:val="000000"/>
                <w:kern w:val="0"/>
                <w:sz w:val="21"/>
                <w:szCs w:val="21"/>
              </w:rPr>
            </w:pPr>
            <w:r>
              <w:rPr>
                <w:rFonts w:eastAsia="宋体" w:cs="Times New Roman"/>
                <w:color w:val="000000"/>
                <w:kern w:val="0"/>
                <w:sz w:val="21"/>
                <w:szCs w:val="21"/>
              </w:rPr>
              <w:t xml:space="preserve">56.36 </w:t>
            </w:r>
          </w:p>
        </w:tc>
        <w:tc>
          <w:tcPr>
            <w:tcW w:w="1971" w:type="dxa"/>
            <w:tcBorders>
              <w:top w:val="nil"/>
              <w:left w:val="nil"/>
              <w:bottom w:val="single" w:color="auto" w:sz="8" w:space="0"/>
              <w:right w:val="nil"/>
            </w:tcBorders>
            <w:shd w:val="clear" w:color="auto" w:fill="auto"/>
            <w:noWrap/>
            <w:vAlign w:val="center"/>
          </w:tcPr>
          <w:p>
            <w:pPr>
              <w:spacing w:line="240" w:lineRule="auto"/>
              <w:ind w:firstLine="420"/>
              <w:jc w:val="center"/>
              <w:rPr>
                <w:rFonts w:eastAsia="宋体" w:cs="Times New Roman"/>
                <w:color w:val="000000"/>
                <w:kern w:val="0"/>
                <w:sz w:val="21"/>
                <w:szCs w:val="21"/>
              </w:rPr>
            </w:pPr>
            <w:r>
              <w:rPr>
                <w:rFonts w:eastAsia="宋体" w:cs="Times New Roman"/>
                <w:color w:val="000000"/>
                <w:kern w:val="0"/>
                <w:sz w:val="21"/>
                <w:szCs w:val="21"/>
              </w:rPr>
              <w:t xml:space="preserve">-3.01 </w:t>
            </w:r>
          </w:p>
        </w:tc>
      </w:tr>
    </w:tbl>
    <w:p>
      <w:pPr>
        <w:pStyle w:val="17"/>
      </w:pPr>
      <w:r>
        <w:rPr>
          <w:rFonts w:hint="eastAsia"/>
        </w:rPr>
        <w:t>表4-9  耒阳市各乡镇新增建设占用耕地面积调整情况表</w:t>
      </w:r>
    </w:p>
    <w:tbl>
      <w:tblPr>
        <w:tblStyle w:val="22"/>
        <w:tblW w:w="0" w:type="auto"/>
        <w:jc w:val="center"/>
        <w:tblLayout w:type="autofit"/>
        <w:tblCellMar>
          <w:top w:w="0" w:type="dxa"/>
          <w:left w:w="108" w:type="dxa"/>
          <w:bottom w:w="0" w:type="dxa"/>
          <w:right w:w="108" w:type="dxa"/>
        </w:tblCellMar>
      </w:tblPr>
      <w:tblGrid>
        <w:gridCol w:w="2559"/>
        <w:gridCol w:w="2468"/>
        <w:gridCol w:w="2082"/>
        <w:gridCol w:w="1933"/>
      </w:tblGrid>
      <w:tr>
        <w:tblPrEx>
          <w:tblCellMar>
            <w:top w:w="0" w:type="dxa"/>
            <w:left w:w="108" w:type="dxa"/>
            <w:bottom w:w="0" w:type="dxa"/>
            <w:right w:w="108" w:type="dxa"/>
          </w:tblCellMar>
        </w:tblPrEx>
        <w:trPr>
          <w:trHeight w:val="171" w:hRule="atLeast"/>
          <w:jc w:val="center"/>
        </w:trPr>
        <w:tc>
          <w:tcPr>
            <w:tcW w:w="2559"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行政区划</w:t>
            </w:r>
          </w:p>
        </w:tc>
        <w:tc>
          <w:tcPr>
            <w:tcW w:w="2468"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修改前规模（公顷）</w:t>
            </w:r>
          </w:p>
        </w:tc>
        <w:tc>
          <w:tcPr>
            <w:tcW w:w="2082"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修改后规模（公顷）</w:t>
            </w:r>
          </w:p>
        </w:tc>
        <w:tc>
          <w:tcPr>
            <w:tcW w:w="1933" w:type="dxa"/>
            <w:tcBorders>
              <w:top w:val="single" w:color="auto" w:sz="8" w:space="0"/>
              <w:left w:val="nil"/>
              <w:bottom w:val="single" w:color="auto" w:sz="4" w:space="0"/>
              <w:right w:val="nil"/>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修改后-修改前</w:t>
            </w:r>
            <w:r>
              <w:rPr>
                <w:rFonts w:hint="eastAsia" w:ascii="仿宋_GB2312" w:hAnsi="Tahoma" w:cs="Tahoma"/>
                <w:b/>
                <w:bCs/>
                <w:color w:val="000000"/>
                <w:kern w:val="0"/>
                <w:sz w:val="21"/>
                <w:szCs w:val="21"/>
              </w:rPr>
              <w:br w:type="textWrapping"/>
            </w:r>
            <w:r>
              <w:rPr>
                <w:rFonts w:hint="eastAsia" w:ascii="仿宋_GB2312" w:hAnsi="Tahoma" w:cs="Tahoma"/>
                <w:b/>
                <w:bCs/>
                <w:color w:val="000000"/>
                <w:kern w:val="0"/>
                <w:sz w:val="21"/>
                <w:szCs w:val="21"/>
              </w:rPr>
              <w:t>（公顷）</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耒阳市</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color w:val="000000"/>
                <w:kern w:val="0"/>
                <w:sz w:val="21"/>
                <w:szCs w:val="21"/>
              </w:rPr>
            </w:pPr>
            <w:r>
              <w:rPr>
                <w:rFonts w:hint="eastAsia" w:eastAsia="宋体" w:cs="Times New Roman"/>
                <w:b/>
                <w:color w:val="000000"/>
                <w:kern w:val="0"/>
                <w:sz w:val="21"/>
                <w:szCs w:val="21"/>
              </w:rPr>
              <w:t xml:space="preserve">2405.31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2128.07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-277.24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蔡子池街道</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117.66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104.72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-12.94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灶市街道</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176.21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180.48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4.27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水东江街道</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299.89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263.10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-36.79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五里牌街道</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207.05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116.92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-90.13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三架街道</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339.40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336.79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-2.61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余庆街道</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158.09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136.80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-21.29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新市镇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70.95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60.07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-10.88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遥田镇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100.20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93.57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-6.63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夏塘镇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44.73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46.61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1.88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南京镇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30.23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32.22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1.99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公平圩镇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39.67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34.17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-5.50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黄市镇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66.04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79.04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13.00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小水镇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71.89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72.19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0.30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哲桥镇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67.16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85.38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18.22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三都镇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57.26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51.85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-5.41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永济镇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45.69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37.51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-8.18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龙塘镇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20.62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14.60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-6.02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大市镇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52.72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53.94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1.22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淝田镇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40.94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32.15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-8.79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南阳镇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36.09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21.29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-14.80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仁义镇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26.43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23.40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-3.03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导子镇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45.18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30.80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-14.38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马水镇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54.72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27.42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-27.30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东湖圩镇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41.77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38.45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-3.32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大义镇</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37.88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30.99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-6.89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大和圩乡</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38.12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31.76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-6.36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坛下乡</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29.52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28.52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-1.00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长坪乡</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29.66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11.76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-17.90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太平圩乡</w:t>
            </w:r>
          </w:p>
        </w:tc>
        <w:tc>
          <w:tcPr>
            <w:tcW w:w="24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10.89 </w:t>
            </w:r>
          </w:p>
        </w:tc>
        <w:tc>
          <w:tcPr>
            <w:tcW w:w="208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7.91 </w:t>
            </w:r>
          </w:p>
        </w:tc>
        <w:tc>
          <w:tcPr>
            <w:tcW w:w="1933"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-2.98 </w:t>
            </w:r>
          </w:p>
        </w:tc>
      </w:tr>
      <w:tr>
        <w:tblPrEx>
          <w:tblCellMar>
            <w:top w:w="0" w:type="dxa"/>
            <w:left w:w="108" w:type="dxa"/>
            <w:bottom w:w="0" w:type="dxa"/>
            <w:right w:w="108" w:type="dxa"/>
          </w:tblCellMar>
        </w:tblPrEx>
        <w:trPr>
          <w:trHeight w:val="171" w:hRule="atLeast"/>
          <w:jc w:val="center"/>
        </w:trPr>
        <w:tc>
          <w:tcPr>
            <w:tcW w:w="2559"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亮源乡</w:t>
            </w:r>
          </w:p>
        </w:tc>
        <w:tc>
          <w:tcPr>
            <w:tcW w:w="2468"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48.65 </w:t>
            </w:r>
          </w:p>
        </w:tc>
        <w:tc>
          <w:tcPr>
            <w:tcW w:w="2082"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43.66 </w:t>
            </w:r>
          </w:p>
        </w:tc>
        <w:tc>
          <w:tcPr>
            <w:tcW w:w="1933"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-4.99 </w:t>
            </w:r>
          </w:p>
        </w:tc>
      </w:tr>
    </w:tbl>
    <w:p>
      <w:pPr>
        <w:pStyle w:val="17"/>
      </w:pPr>
      <w:r>
        <w:rPr>
          <w:rFonts w:hint="eastAsia"/>
        </w:rPr>
        <w:t>表4-10  耒阳市各乡镇补充耕地任务量调整情况表</w:t>
      </w:r>
    </w:p>
    <w:tbl>
      <w:tblPr>
        <w:tblStyle w:val="22"/>
        <w:tblW w:w="0" w:type="auto"/>
        <w:jc w:val="center"/>
        <w:tblLayout w:type="autofit"/>
        <w:tblCellMar>
          <w:top w:w="0" w:type="dxa"/>
          <w:left w:w="108" w:type="dxa"/>
          <w:bottom w:w="0" w:type="dxa"/>
          <w:right w:w="108" w:type="dxa"/>
        </w:tblCellMar>
      </w:tblPr>
      <w:tblGrid>
        <w:gridCol w:w="2576"/>
        <w:gridCol w:w="2484"/>
        <w:gridCol w:w="2010"/>
        <w:gridCol w:w="2031"/>
      </w:tblGrid>
      <w:tr>
        <w:tblPrEx>
          <w:tblCellMar>
            <w:top w:w="0" w:type="dxa"/>
            <w:left w:w="108" w:type="dxa"/>
            <w:bottom w:w="0" w:type="dxa"/>
            <w:right w:w="108" w:type="dxa"/>
          </w:tblCellMar>
        </w:tblPrEx>
        <w:trPr>
          <w:trHeight w:val="170" w:hRule="atLeast"/>
          <w:jc w:val="center"/>
        </w:trPr>
        <w:tc>
          <w:tcPr>
            <w:tcW w:w="2576"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行政区划</w:t>
            </w:r>
          </w:p>
        </w:tc>
        <w:tc>
          <w:tcPr>
            <w:tcW w:w="2484"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修改前规模（公顷）</w:t>
            </w:r>
          </w:p>
        </w:tc>
        <w:tc>
          <w:tcPr>
            <w:tcW w:w="2010" w:type="dxa"/>
            <w:tcBorders>
              <w:top w:val="single" w:color="auto" w:sz="8" w:space="0"/>
              <w:left w:val="nil"/>
              <w:bottom w:val="single" w:color="auto" w:sz="4" w:space="0"/>
              <w:right w:val="single" w:color="auto" w:sz="4" w:space="0"/>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修改后规模（公顷）</w:t>
            </w:r>
          </w:p>
        </w:tc>
        <w:tc>
          <w:tcPr>
            <w:tcW w:w="2031" w:type="dxa"/>
            <w:tcBorders>
              <w:top w:val="single" w:color="auto" w:sz="8" w:space="0"/>
              <w:left w:val="nil"/>
              <w:bottom w:val="single" w:color="auto" w:sz="4" w:space="0"/>
              <w:right w:val="nil"/>
            </w:tcBorders>
            <w:shd w:val="clear" w:color="auto" w:fill="auto"/>
            <w:vAlign w:val="center"/>
          </w:tcPr>
          <w:p>
            <w:pPr>
              <w:widowControl/>
              <w:spacing w:line="20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修改后-修改前</w:t>
            </w:r>
            <w:r>
              <w:rPr>
                <w:rFonts w:hint="eastAsia" w:ascii="仿宋_GB2312" w:hAnsi="Tahoma" w:cs="Tahoma"/>
                <w:b/>
                <w:bCs/>
                <w:color w:val="000000"/>
                <w:kern w:val="0"/>
                <w:sz w:val="21"/>
                <w:szCs w:val="21"/>
              </w:rPr>
              <w:br w:type="textWrapping"/>
            </w:r>
            <w:r>
              <w:rPr>
                <w:rFonts w:hint="eastAsia" w:ascii="仿宋_GB2312" w:hAnsi="Tahoma" w:cs="Tahoma"/>
                <w:b/>
                <w:bCs/>
                <w:color w:val="000000"/>
                <w:kern w:val="0"/>
                <w:sz w:val="21"/>
                <w:szCs w:val="21"/>
              </w:rPr>
              <w:t>（公顷）</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耒阳市</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3103.86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3103.86 </w:t>
            </w:r>
          </w:p>
        </w:tc>
        <w:tc>
          <w:tcPr>
            <w:tcW w:w="2031"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center"/>
              <w:rPr>
                <w:rFonts w:eastAsia="宋体" w:cs="Times New Roman"/>
                <w:b/>
                <w:color w:val="000000"/>
                <w:kern w:val="0"/>
                <w:sz w:val="21"/>
                <w:szCs w:val="21"/>
              </w:rPr>
            </w:pPr>
            <w:r>
              <w:rPr>
                <w:rFonts w:hint="eastAsia" w:eastAsia="宋体" w:cs="Times New Roman"/>
                <w:b/>
                <w:color w:val="000000"/>
                <w:kern w:val="0"/>
                <w:sz w:val="21"/>
                <w:szCs w:val="21"/>
              </w:rPr>
              <w:t>0.00</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蔡子池街道</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灶市街道</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89.62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65.29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-24.33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水东江街道</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115.44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87.24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-28.20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五里牌街道</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9.84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8.46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-1.38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三架街道</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42.42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40.21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-2.21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余庆街道</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156.60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117.47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-39.13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新市镇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114.65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89.98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-24.67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遥田镇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77.29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92.10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14.81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夏塘镇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96.51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76.03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-20.48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南京镇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104.11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116.97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12.86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公平圩镇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115.11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130.73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15.62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黄市镇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50.62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68.29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17.67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小水镇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168.11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136.63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-31.48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哲桥镇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155.97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128.25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-27.72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三都镇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139.15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154.72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15.57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永济镇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101.53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112.58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11.05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龙塘镇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72.25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68.64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-3.61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大市镇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171.16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148.74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-22.42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淝田镇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97.71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122.33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24.62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南阳镇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96.24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94.92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-1.32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仁义镇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123.50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138.25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14.75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导子镇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120.66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135.08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14.42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马水镇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188.70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202.86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14.16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东湖圩镇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103.75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118.94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15.19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大义镇</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83.22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92.92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9.70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大和圩乡</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137.10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145.87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8.77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坛下乡</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103.08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120.09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17.01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长坪乡</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101.80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108.04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6.24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太平圩乡</w:t>
            </w:r>
          </w:p>
        </w:tc>
        <w:tc>
          <w:tcPr>
            <w:tcW w:w="24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66.15 </w:t>
            </w:r>
          </w:p>
        </w:tc>
        <w:tc>
          <w:tcPr>
            <w:tcW w:w="20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71.99 </w:t>
            </w:r>
          </w:p>
        </w:tc>
        <w:tc>
          <w:tcPr>
            <w:tcW w:w="2031"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5.84 </w:t>
            </w:r>
          </w:p>
        </w:tc>
      </w:tr>
      <w:tr>
        <w:tblPrEx>
          <w:tblCellMar>
            <w:top w:w="0" w:type="dxa"/>
            <w:left w:w="108" w:type="dxa"/>
            <w:bottom w:w="0" w:type="dxa"/>
            <w:right w:w="108" w:type="dxa"/>
          </w:tblCellMar>
        </w:tblPrEx>
        <w:trPr>
          <w:trHeight w:val="170" w:hRule="atLeast"/>
          <w:jc w:val="center"/>
        </w:trPr>
        <w:tc>
          <w:tcPr>
            <w:tcW w:w="2576"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亮源乡</w:t>
            </w:r>
          </w:p>
        </w:tc>
        <w:tc>
          <w:tcPr>
            <w:tcW w:w="2484"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101.57 </w:t>
            </w:r>
          </w:p>
        </w:tc>
        <w:tc>
          <w:tcPr>
            <w:tcW w:w="2010" w:type="dxa"/>
            <w:tcBorders>
              <w:top w:val="nil"/>
              <w:left w:val="nil"/>
              <w:bottom w:val="single" w:color="auto" w:sz="8"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110.24 </w:t>
            </w:r>
          </w:p>
        </w:tc>
        <w:tc>
          <w:tcPr>
            <w:tcW w:w="2031"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8.67 </w:t>
            </w:r>
          </w:p>
        </w:tc>
      </w:tr>
    </w:tbl>
    <w:p>
      <w:pPr>
        <w:pStyle w:val="2"/>
      </w:pPr>
      <w:bookmarkStart w:id="161" w:name="_Toc485040262"/>
      <w:bookmarkStart w:id="162" w:name="_Toc479943942"/>
      <w:r>
        <w:rPr>
          <w:rFonts w:hint="eastAsia"/>
        </w:rPr>
        <w:t>第五章  土地利用布局调整</w:t>
      </w:r>
      <w:bookmarkEnd w:id="161"/>
    </w:p>
    <w:p>
      <w:pPr>
        <w:pStyle w:val="3"/>
        <w:ind w:firstLine="602"/>
      </w:pPr>
      <w:bookmarkStart w:id="163" w:name="_Toc477514089"/>
      <w:bookmarkStart w:id="164" w:name="_Toc485040263"/>
      <w:r>
        <w:rPr>
          <w:rFonts w:hint="eastAsia"/>
        </w:rPr>
        <w:t xml:space="preserve">第一节  </w:t>
      </w:r>
      <w:r>
        <w:t>耕地与基本农田调整</w:t>
      </w:r>
      <w:bookmarkEnd w:id="163"/>
      <w:bookmarkEnd w:id="164"/>
    </w:p>
    <w:p>
      <w:pPr>
        <w:pStyle w:val="4"/>
        <w:ind w:firstLine="562"/>
      </w:pPr>
      <w:r>
        <w:rPr>
          <w:rFonts w:hint="eastAsia"/>
        </w:rPr>
        <w:t>一、耕地布局调整</w:t>
      </w:r>
    </w:p>
    <w:p>
      <w:pPr>
        <w:spacing w:line="560" w:lineRule="exact"/>
        <w:ind w:firstLine="560"/>
        <w:rPr>
          <w:rFonts w:cs="Times New Roman"/>
          <w:szCs w:val="28"/>
        </w:rPr>
      </w:pPr>
      <w:r>
        <w:rPr>
          <w:rFonts w:cs="Times New Roman"/>
          <w:szCs w:val="28"/>
        </w:rPr>
        <w:t>本次规划修改，耒阳市建设用地布局调出还原耕地</w:t>
      </w:r>
      <w:r>
        <w:rPr>
          <w:rFonts w:hint="eastAsia" w:cs="Times New Roman"/>
          <w:szCs w:val="28"/>
        </w:rPr>
        <w:t>639.17</w:t>
      </w:r>
      <w:r>
        <w:rPr>
          <w:rFonts w:cs="Times New Roman"/>
          <w:szCs w:val="28"/>
        </w:rPr>
        <w:t>公顷（水田</w:t>
      </w:r>
      <w:r>
        <w:rPr>
          <w:rFonts w:hint="eastAsia" w:cs="Times New Roman"/>
          <w:szCs w:val="28"/>
        </w:rPr>
        <w:t>424.84</w:t>
      </w:r>
      <w:r>
        <w:rPr>
          <w:rFonts w:cs="Times New Roman"/>
          <w:szCs w:val="28"/>
        </w:rPr>
        <w:t>公顷，旱地</w:t>
      </w:r>
      <w:r>
        <w:rPr>
          <w:rFonts w:hint="eastAsia" w:cs="Times New Roman"/>
          <w:szCs w:val="28"/>
        </w:rPr>
        <w:t>181.37</w:t>
      </w:r>
      <w:r>
        <w:rPr>
          <w:rFonts w:cs="Times New Roman"/>
          <w:szCs w:val="28"/>
        </w:rPr>
        <w:t>公顷，水浇地</w:t>
      </w:r>
      <w:r>
        <w:rPr>
          <w:rFonts w:hint="eastAsia" w:cs="Times New Roman"/>
          <w:szCs w:val="28"/>
        </w:rPr>
        <w:t>32.96</w:t>
      </w:r>
      <w:r>
        <w:rPr>
          <w:rFonts w:cs="Times New Roman"/>
          <w:szCs w:val="28"/>
        </w:rPr>
        <w:t>公顷），建设用地布局调入涉及耕地</w:t>
      </w:r>
      <w:r>
        <w:rPr>
          <w:rFonts w:hint="eastAsia" w:cs="Times New Roman"/>
          <w:szCs w:val="28"/>
        </w:rPr>
        <w:t>590.25</w:t>
      </w:r>
      <w:r>
        <w:rPr>
          <w:rFonts w:cs="Times New Roman"/>
          <w:szCs w:val="28"/>
        </w:rPr>
        <w:t>公顷（水田</w:t>
      </w:r>
      <w:r>
        <w:rPr>
          <w:rFonts w:hint="eastAsia" w:cs="Times New Roman"/>
          <w:szCs w:val="28"/>
        </w:rPr>
        <w:t>391.74</w:t>
      </w:r>
      <w:r>
        <w:rPr>
          <w:rFonts w:cs="Times New Roman"/>
          <w:szCs w:val="28"/>
        </w:rPr>
        <w:t>公顷，旱地</w:t>
      </w:r>
      <w:r>
        <w:rPr>
          <w:rFonts w:hint="eastAsia" w:cs="Times New Roman"/>
          <w:szCs w:val="28"/>
        </w:rPr>
        <w:t>172.84</w:t>
      </w:r>
      <w:r>
        <w:rPr>
          <w:rFonts w:cs="Times New Roman"/>
          <w:szCs w:val="28"/>
        </w:rPr>
        <w:t>公顷，水浇地</w:t>
      </w:r>
      <w:r>
        <w:rPr>
          <w:rFonts w:hint="eastAsia" w:cs="Times New Roman"/>
          <w:szCs w:val="28"/>
        </w:rPr>
        <w:t>25.67</w:t>
      </w:r>
      <w:r>
        <w:rPr>
          <w:rFonts w:cs="Times New Roman"/>
          <w:szCs w:val="28"/>
        </w:rPr>
        <w:t>公顷），平均耕地质量8-9等，规划修改后，耒阳市耕地净增加</w:t>
      </w:r>
      <w:r>
        <w:rPr>
          <w:rFonts w:hint="eastAsia" w:cs="Times New Roman"/>
          <w:szCs w:val="28"/>
        </w:rPr>
        <w:t>48.92</w:t>
      </w:r>
      <w:r>
        <w:rPr>
          <w:rFonts w:cs="Times New Roman"/>
          <w:szCs w:val="28"/>
        </w:rPr>
        <w:t>公顷（水田增加</w:t>
      </w:r>
      <w:r>
        <w:rPr>
          <w:rFonts w:hint="eastAsia" w:cs="Times New Roman"/>
          <w:szCs w:val="28"/>
        </w:rPr>
        <w:t>33.10</w:t>
      </w:r>
      <w:r>
        <w:rPr>
          <w:rFonts w:cs="Times New Roman"/>
          <w:szCs w:val="28"/>
        </w:rPr>
        <w:t>公顷，旱地增加</w:t>
      </w:r>
      <w:r>
        <w:rPr>
          <w:rFonts w:hint="eastAsia" w:cs="Times New Roman"/>
          <w:szCs w:val="28"/>
        </w:rPr>
        <w:t>8.53</w:t>
      </w:r>
      <w:r>
        <w:rPr>
          <w:rFonts w:cs="Times New Roman"/>
          <w:szCs w:val="28"/>
        </w:rPr>
        <w:t>公顷，水浇地</w:t>
      </w:r>
      <w:r>
        <w:rPr>
          <w:rFonts w:hint="eastAsia" w:cs="Times New Roman"/>
          <w:szCs w:val="28"/>
        </w:rPr>
        <w:t>增加7.29</w:t>
      </w:r>
      <w:r>
        <w:rPr>
          <w:rFonts w:cs="Times New Roman"/>
          <w:szCs w:val="28"/>
        </w:rPr>
        <w:t>公顷）（表</w:t>
      </w:r>
      <w:r>
        <w:rPr>
          <w:rFonts w:hint="eastAsia" w:cs="Times New Roman"/>
          <w:szCs w:val="28"/>
        </w:rPr>
        <w:t>5-1</w:t>
      </w:r>
      <w:r>
        <w:rPr>
          <w:rFonts w:cs="Times New Roman"/>
          <w:szCs w:val="28"/>
        </w:rPr>
        <w:t>）。</w:t>
      </w:r>
    </w:p>
    <w:p>
      <w:pPr>
        <w:ind w:firstLine="560"/>
        <w:rPr>
          <w:rFonts w:cs="Times New Roman"/>
          <w:szCs w:val="28"/>
        </w:rPr>
      </w:pPr>
      <w:r>
        <w:rPr>
          <w:rFonts w:hint="eastAsia"/>
        </w:rPr>
        <w:t>规划修改后，到2020年，耒阳市规划数据库落实耕地面积为65309.26公顷，耒阳市耕地保有量目</w:t>
      </w:r>
      <w:r>
        <w:rPr>
          <w:rFonts w:hint="eastAsia" w:cs="Times New Roman"/>
          <w:szCs w:val="28"/>
        </w:rPr>
        <w:t>标为</w:t>
      </w:r>
      <w:r>
        <w:rPr>
          <w:rFonts w:cs="Times New Roman"/>
          <w:szCs w:val="28"/>
        </w:rPr>
        <w:t>63420.00</w:t>
      </w:r>
      <w:r>
        <w:rPr>
          <w:rFonts w:hint="eastAsia" w:cs="Times New Roman"/>
          <w:szCs w:val="28"/>
        </w:rPr>
        <w:t>公顷，达到上级</w:t>
      </w:r>
      <w:r>
        <w:rPr>
          <w:rFonts w:hint="eastAsia"/>
        </w:rPr>
        <w:t>耕地保有量</w:t>
      </w:r>
      <w:r>
        <w:rPr>
          <w:rFonts w:hint="eastAsia" w:cs="Times New Roman"/>
          <w:szCs w:val="28"/>
        </w:rPr>
        <w:t>要求（表5-2）。</w:t>
      </w:r>
    </w:p>
    <w:p>
      <w:pPr>
        <w:spacing w:line="560" w:lineRule="exact"/>
        <w:ind w:firstLine="560"/>
        <w:rPr>
          <w:rFonts w:cs="Times New Roman"/>
          <w:szCs w:val="28"/>
        </w:rPr>
      </w:pPr>
      <w:r>
        <w:rPr>
          <w:rFonts w:hint="eastAsia" w:cs="Times New Roman"/>
          <w:szCs w:val="28"/>
        </w:rPr>
        <w:t>规划修改后，耒阳市各乡镇耕地布局发生较大变化。其中五里牌、南阳、导子、马水、长坪</w:t>
      </w:r>
      <w:r>
        <w:rPr>
          <w:rFonts w:cs="Times New Roman"/>
          <w:szCs w:val="28"/>
        </w:rPr>
        <w:t>等乡（镇、街道）</w:t>
      </w:r>
      <w:r>
        <w:rPr>
          <w:rFonts w:hint="eastAsia" w:cs="Times New Roman"/>
          <w:szCs w:val="28"/>
        </w:rPr>
        <w:t>因耕地后备资源丰富，耕地增加较多；灶市、三架、余庆</w:t>
      </w:r>
      <w:r>
        <w:rPr>
          <w:rFonts w:cs="Times New Roman"/>
          <w:szCs w:val="28"/>
        </w:rPr>
        <w:t>街道</w:t>
      </w:r>
      <w:r>
        <w:rPr>
          <w:rFonts w:hint="eastAsia" w:cs="Times New Roman"/>
          <w:szCs w:val="28"/>
        </w:rPr>
        <w:t>因建设用地布局调整导致耕地有所减少</w:t>
      </w:r>
      <w:r>
        <w:rPr>
          <w:rFonts w:cs="Times New Roman"/>
          <w:szCs w:val="28"/>
        </w:rPr>
        <w:t>。</w:t>
      </w:r>
    </w:p>
    <w:p>
      <w:pPr>
        <w:pStyle w:val="4"/>
        <w:ind w:firstLine="562"/>
      </w:pPr>
      <w:r>
        <w:rPr>
          <w:rFonts w:hint="eastAsia"/>
        </w:rPr>
        <w:t>二、基本农田布局调整</w:t>
      </w:r>
    </w:p>
    <w:p>
      <w:pPr>
        <w:ind w:firstLine="560"/>
        <w:rPr>
          <w:szCs w:val="28"/>
        </w:rPr>
      </w:pPr>
      <w:r>
        <w:rPr>
          <w:szCs w:val="28"/>
        </w:rPr>
        <w:t>经与耒阳市永久性基本农田划定对接，耒阳市调出基本农田</w:t>
      </w:r>
      <w:r>
        <w:rPr>
          <w:rFonts w:hint="eastAsia"/>
          <w:szCs w:val="28"/>
        </w:rPr>
        <w:t>3288.38</w:t>
      </w:r>
      <w:r>
        <w:rPr>
          <w:szCs w:val="28"/>
        </w:rPr>
        <w:t>公顷，平均耕地质量等别为</w:t>
      </w:r>
      <w:r>
        <w:rPr>
          <w:rFonts w:hint="eastAsia"/>
          <w:szCs w:val="28"/>
        </w:rPr>
        <w:t>8-9</w:t>
      </w:r>
      <w:r>
        <w:rPr>
          <w:szCs w:val="28"/>
        </w:rPr>
        <w:t>等。补划基本农田</w:t>
      </w:r>
      <w:r>
        <w:rPr>
          <w:rFonts w:hint="eastAsia"/>
          <w:szCs w:val="28"/>
        </w:rPr>
        <w:t>3687.37</w:t>
      </w:r>
      <w:r>
        <w:rPr>
          <w:szCs w:val="28"/>
        </w:rPr>
        <w:t>公顷，平均耕地质量等别为8-9等。规划修改后，耒阳市基本农田面积由5280</w:t>
      </w:r>
      <w:r>
        <w:rPr>
          <w:rFonts w:hint="eastAsia"/>
          <w:szCs w:val="28"/>
        </w:rPr>
        <w:t>3.07</w:t>
      </w:r>
      <w:r>
        <w:rPr>
          <w:szCs w:val="28"/>
        </w:rPr>
        <w:t>公顷调整为53</w:t>
      </w:r>
      <w:r>
        <w:rPr>
          <w:rFonts w:hint="eastAsia"/>
          <w:szCs w:val="28"/>
        </w:rPr>
        <w:t>202.06</w:t>
      </w:r>
      <w:r>
        <w:rPr>
          <w:szCs w:val="28"/>
        </w:rPr>
        <w:t>公顷</w:t>
      </w:r>
      <w:r>
        <w:rPr>
          <w:rFonts w:hint="eastAsia"/>
          <w:szCs w:val="28"/>
        </w:rPr>
        <w:t>，耒阳市基本农田保护目标为53130.00公顷，完成上级规定的基本农田任务</w:t>
      </w:r>
      <w:r>
        <w:rPr>
          <w:szCs w:val="28"/>
        </w:rPr>
        <w:t>（表</w:t>
      </w:r>
      <w:r>
        <w:rPr>
          <w:rFonts w:hint="eastAsia"/>
          <w:szCs w:val="28"/>
        </w:rPr>
        <w:t>5-3</w:t>
      </w:r>
      <w:r>
        <w:rPr>
          <w:szCs w:val="28"/>
        </w:rPr>
        <w:t>）</w:t>
      </w:r>
      <w:r>
        <w:rPr>
          <w:rFonts w:hint="eastAsia"/>
          <w:szCs w:val="28"/>
        </w:rPr>
        <w:t>。</w:t>
      </w:r>
    </w:p>
    <w:p>
      <w:pPr>
        <w:ind w:firstLine="560"/>
      </w:pPr>
      <w:r>
        <w:rPr>
          <w:rFonts w:hint="eastAsia"/>
        </w:rPr>
        <w:t>规划修改后，耒阳市各乡镇基本农田布局发生了变化。其中灶市、水东江、余庆、长坪乡</w:t>
      </w:r>
      <w:r>
        <w:t>（镇、街道）</w:t>
      </w:r>
      <w:r>
        <w:rPr>
          <w:rFonts w:hint="eastAsia"/>
        </w:rPr>
        <w:t>耕地数量及质量较高，基本农田增加较多；大市、小水、公平圩镇因建设用地布局调整导致基本农田相应减少。</w:t>
      </w:r>
    </w:p>
    <w:p>
      <w:pPr>
        <w:ind w:firstLine="560"/>
      </w:pPr>
    </w:p>
    <w:p>
      <w:pPr>
        <w:ind w:firstLine="560"/>
      </w:pPr>
    </w:p>
    <w:p>
      <w:pPr>
        <w:pStyle w:val="17"/>
      </w:pPr>
      <w:r>
        <w:t>表</w:t>
      </w:r>
      <w:r>
        <w:rPr>
          <w:rFonts w:hint="eastAsia"/>
        </w:rPr>
        <w:t xml:space="preserve">5-1  </w:t>
      </w:r>
      <w:r>
        <w:t>耒阳市耕地布局调整情况统计表</w:t>
      </w:r>
    </w:p>
    <w:tbl>
      <w:tblPr>
        <w:tblStyle w:val="22"/>
        <w:tblW w:w="10503" w:type="dxa"/>
        <w:tblInd w:w="83" w:type="dxa"/>
        <w:tblLayout w:type="autofit"/>
        <w:tblCellMar>
          <w:top w:w="0" w:type="dxa"/>
          <w:left w:w="108" w:type="dxa"/>
          <w:bottom w:w="0" w:type="dxa"/>
          <w:right w:w="108" w:type="dxa"/>
        </w:tblCellMar>
      </w:tblPr>
      <w:tblGrid>
        <w:gridCol w:w="1317"/>
        <w:gridCol w:w="803"/>
        <w:gridCol w:w="803"/>
        <w:gridCol w:w="697"/>
        <w:gridCol w:w="806"/>
        <w:gridCol w:w="803"/>
        <w:gridCol w:w="803"/>
        <w:gridCol w:w="697"/>
        <w:gridCol w:w="806"/>
        <w:gridCol w:w="769"/>
        <w:gridCol w:w="769"/>
        <w:gridCol w:w="662"/>
        <w:gridCol w:w="769"/>
      </w:tblGrid>
      <w:tr>
        <w:tblPrEx>
          <w:tblCellMar>
            <w:top w:w="0" w:type="dxa"/>
            <w:left w:w="108" w:type="dxa"/>
            <w:bottom w:w="0" w:type="dxa"/>
            <w:right w:w="108" w:type="dxa"/>
          </w:tblCellMar>
        </w:tblPrEx>
        <w:trPr>
          <w:trHeight w:val="341" w:hRule="atLeast"/>
        </w:trPr>
        <w:tc>
          <w:tcPr>
            <w:tcW w:w="1317" w:type="dxa"/>
            <w:vMerge w:val="restart"/>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exact"/>
              <w:ind w:firstLineChars="0"/>
              <w:rPr>
                <w:rFonts w:ascii="仿宋_GB2312" w:hAnsi="宋体" w:cs="宋体"/>
                <w:b/>
                <w:bCs/>
                <w:color w:val="000000"/>
                <w:kern w:val="0"/>
                <w:sz w:val="21"/>
                <w:szCs w:val="21"/>
              </w:rPr>
            </w:pPr>
            <w:r>
              <w:rPr>
                <w:rFonts w:hint="eastAsia" w:ascii="仿宋_GB2312" w:hAnsi="宋体" w:cs="宋体"/>
                <w:b/>
                <w:bCs/>
                <w:color w:val="000000"/>
                <w:kern w:val="0"/>
                <w:sz w:val="21"/>
                <w:szCs w:val="21"/>
              </w:rPr>
              <w:t>行政</w:t>
            </w:r>
          </w:p>
          <w:p>
            <w:pPr>
              <w:widowControl/>
              <w:spacing w:line="240" w:lineRule="exact"/>
              <w:ind w:firstLineChars="0"/>
              <w:rPr>
                <w:rFonts w:ascii="仿宋_GB2312" w:hAnsi="宋体" w:cs="宋体"/>
                <w:b/>
                <w:bCs/>
                <w:color w:val="000000"/>
                <w:kern w:val="0"/>
                <w:sz w:val="21"/>
                <w:szCs w:val="21"/>
              </w:rPr>
            </w:pPr>
            <w:r>
              <w:rPr>
                <w:rFonts w:hint="eastAsia" w:ascii="仿宋_GB2312" w:hAnsi="宋体" w:cs="宋体"/>
                <w:b/>
                <w:bCs/>
                <w:color w:val="000000"/>
                <w:kern w:val="0"/>
                <w:sz w:val="21"/>
                <w:szCs w:val="21"/>
              </w:rPr>
              <w:t>区域</w:t>
            </w:r>
          </w:p>
        </w:tc>
        <w:tc>
          <w:tcPr>
            <w:tcW w:w="3109" w:type="dxa"/>
            <w:gridSpan w:val="4"/>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建设用地涉及耕地占用（公顷）</w:t>
            </w:r>
          </w:p>
        </w:tc>
        <w:tc>
          <w:tcPr>
            <w:tcW w:w="3109" w:type="dxa"/>
            <w:gridSpan w:val="4"/>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建设用地调出还原耕地（公顷）</w:t>
            </w:r>
          </w:p>
        </w:tc>
        <w:tc>
          <w:tcPr>
            <w:tcW w:w="2968" w:type="dxa"/>
            <w:gridSpan w:val="4"/>
            <w:tcBorders>
              <w:top w:val="single" w:color="auto" w:sz="8" w:space="0"/>
              <w:left w:val="nil"/>
              <w:bottom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耕地变化量（公顷）</w:t>
            </w:r>
          </w:p>
        </w:tc>
      </w:tr>
      <w:tr>
        <w:tblPrEx>
          <w:tblCellMar>
            <w:top w:w="0" w:type="dxa"/>
            <w:left w:w="108" w:type="dxa"/>
            <w:bottom w:w="0" w:type="dxa"/>
            <w:right w:w="108" w:type="dxa"/>
          </w:tblCellMar>
        </w:tblPrEx>
        <w:trPr>
          <w:trHeight w:val="784" w:hRule="atLeast"/>
        </w:trPr>
        <w:tc>
          <w:tcPr>
            <w:tcW w:w="1317" w:type="dxa"/>
            <w:vMerge w:val="continue"/>
            <w:tcBorders>
              <w:top w:val="single" w:color="auto" w:sz="8" w:space="0"/>
              <w:left w:val="nil"/>
              <w:bottom w:val="single" w:color="auto" w:sz="4" w:space="0"/>
              <w:right w:val="single" w:color="auto" w:sz="4" w:space="0"/>
            </w:tcBorders>
            <w:vAlign w:val="center"/>
          </w:tcPr>
          <w:p>
            <w:pPr>
              <w:widowControl/>
              <w:spacing w:line="240" w:lineRule="exact"/>
              <w:ind w:firstLine="0" w:firstLineChars="0"/>
              <w:jc w:val="left"/>
              <w:rPr>
                <w:rFonts w:ascii="仿宋_GB2312" w:hAnsi="宋体" w:cs="宋体"/>
                <w:b/>
                <w:bCs/>
                <w:color w:val="000000"/>
                <w:kern w:val="0"/>
                <w:sz w:val="21"/>
                <w:szCs w:val="21"/>
              </w:rPr>
            </w:pP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水田</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旱地</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水浇地</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小计</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水田</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旱地</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水浇地</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小计</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水田</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旱地</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水浇地</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小计</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耒阳市</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391.74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172.84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25.67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590.25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424.84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181.37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32.96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639.17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33.10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8.53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7.29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48.92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蔡子池街道</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灶市街道</w:t>
            </w:r>
            <w:r>
              <w:rPr>
                <w:rFonts w:ascii="Arial" w:hAnsi="Arial" w:cs="Arial"/>
                <w:color w:val="333333"/>
                <w:kern w:val="0"/>
                <w:sz w:val="21"/>
                <w:szCs w:val="21"/>
              </w:rPr>
              <w:t>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52.87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26.81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19.31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98.99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19.43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19.24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12.90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51.57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-33.44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-7.57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-6.41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-47.42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水东江街道</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62.85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22.31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3.56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88.72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52.30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31.03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8.85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92.18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-10.55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8.72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5.29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3.46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五里牌街道</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17.35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1.01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18.36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85.18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7.11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1.16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93.45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67.83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6.10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1.16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75.09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三架街道</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77.48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31.63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0.15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109.26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22.20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34.10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2.71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59.01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-55.28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2.47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2.56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-50.25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余庆街道</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56.18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39.88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1.32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97.38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38.66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23.92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3.96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66.54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-17.52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-15.96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2.64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-30.84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新市镇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1.25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6.73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13.33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2.35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15.68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7.85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1.10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8.95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遥田镇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8.69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0.14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8.83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6.01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0.14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6.15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夏塘镇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0.20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0.20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-0.20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-0.20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南京镇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3.13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2.05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5.18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3.41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3.41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-3.13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1.36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-1.77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公平圩镇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0.49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0.65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1.14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5.27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6.35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0.59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4.62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5.21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黄市镇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19.66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0.89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20.55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4.10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5.65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9.75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-15.56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4.76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-10.80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小水镇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3.66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7.56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11.22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4.64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6.30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10.94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0.98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-1.26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-0.28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哲桥镇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17.16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5.46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22.62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5.79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1.59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7.38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-11.37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-3.87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-15.24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三都镇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5.50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0.35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0.13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5.98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3.87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5.95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0.56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10.38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-1.63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5.60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0.43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4.40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永济镇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6.64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1.75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8.39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14.18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0.37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1.27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15.82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7.54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-1.38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1.27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7.43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龙塘镇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0.83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0.36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1.19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6.38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6.38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5.55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-0.36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5.19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大市镇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10.81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17.51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1.05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29.37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17.23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9.29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26.52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6.42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-8.22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-1.05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-2.85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淝田镇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1.04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1.04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6.17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3.01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9.18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5.13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3.01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8.14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南阳镇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4.28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1.59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5.87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15.45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2.11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17.56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11.17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0.52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11.69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仁义镇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6.34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0.07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6.41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6.07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1.90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7.97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-0.27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1.83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1.56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导子镇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5.02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0.27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0.15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5.44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13.67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2.98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0.29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16.94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8.65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2.71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0.14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11.50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马水镇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5.18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5.18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25.81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2.22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0.74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28.77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20.63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2.22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0.74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23.59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东湖圩镇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2.65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2.72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5.37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7.62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0.43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8.05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4.97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-2.29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2.68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大义镇</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2.91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8.39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10.35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3.56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13.91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4.87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0.65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5.52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大和圩乡</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0.39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1.97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2.36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7.37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0.96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8.33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6.98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-1.01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5.97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坛下乡</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8.57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0.08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8.65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5.58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3.11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0.52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9.21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-2.99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3.03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0.52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0.56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长坪乡</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3.15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3.15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17.48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0.42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17.90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14.33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0.42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14.75 </w:t>
            </w:r>
          </w:p>
        </w:tc>
      </w:tr>
      <w:tr>
        <w:tblPrEx>
          <w:tblCellMar>
            <w:top w:w="0" w:type="dxa"/>
            <w:left w:w="108" w:type="dxa"/>
            <w:bottom w:w="0" w:type="dxa"/>
            <w:right w:w="108" w:type="dxa"/>
          </w:tblCellMar>
        </w:tblPrEx>
        <w:trPr>
          <w:trHeight w:val="341" w:hRule="atLeast"/>
        </w:trPr>
        <w:tc>
          <w:tcPr>
            <w:tcW w:w="131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太平圩乡</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0.82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3.36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4.18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2.07 </w:t>
            </w:r>
          </w:p>
        </w:tc>
        <w:tc>
          <w:tcPr>
            <w:tcW w:w="80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4.71 </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6.78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1.25 </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1.35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4"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2.60 </w:t>
            </w:r>
          </w:p>
        </w:tc>
      </w:tr>
      <w:tr>
        <w:tblPrEx>
          <w:tblCellMar>
            <w:top w:w="0" w:type="dxa"/>
            <w:left w:w="108" w:type="dxa"/>
            <w:bottom w:w="0" w:type="dxa"/>
            <w:right w:w="108" w:type="dxa"/>
          </w:tblCellMar>
        </w:tblPrEx>
        <w:trPr>
          <w:trHeight w:val="360" w:hRule="atLeast"/>
        </w:trPr>
        <w:tc>
          <w:tcPr>
            <w:tcW w:w="1317" w:type="dxa"/>
            <w:tcBorders>
              <w:top w:val="nil"/>
              <w:left w:val="nil"/>
              <w:bottom w:val="single" w:color="auto" w:sz="8"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亮源乡</w:t>
            </w:r>
          </w:p>
        </w:tc>
        <w:tc>
          <w:tcPr>
            <w:tcW w:w="803" w:type="dxa"/>
            <w:tcBorders>
              <w:top w:val="nil"/>
              <w:left w:val="nil"/>
              <w:bottom w:val="single" w:color="auto" w:sz="8"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5.85 </w:t>
            </w:r>
          </w:p>
        </w:tc>
        <w:tc>
          <w:tcPr>
            <w:tcW w:w="803" w:type="dxa"/>
            <w:tcBorders>
              <w:top w:val="nil"/>
              <w:left w:val="nil"/>
              <w:bottom w:val="single" w:color="auto" w:sz="8"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0.40 </w:t>
            </w:r>
          </w:p>
        </w:tc>
        <w:tc>
          <w:tcPr>
            <w:tcW w:w="697" w:type="dxa"/>
            <w:tcBorders>
              <w:top w:val="nil"/>
              <w:left w:val="nil"/>
              <w:bottom w:val="single" w:color="auto" w:sz="8"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8"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6.25 </w:t>
            </w:r>
          </w:p>
        </w:tc>
        <w:tc>
          <w:tcPr>
            <w:tcW w:w="803" w:type="dxa"/>
            <w:tcBorders>
              <w:top w:val="nil"/>
              <w:left w:val="nil"/>
              <w:bottom w:val="single" w:color="auto" w:sz="8"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10.14 </w:t>
            </w:r>
          </w:p>
        </w:tc>
        <w:tc>
          <w:tcPr>
            <w:tcW w:w="803" w:type="dxa"/>
            <w:tcBorders>
              <w:top w:val="nil"/>
              <w:left w:val="nil"/>
              <w:bottom w:val="single" w:color="auto" w:sz="8"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0.24 </w:t>
            </w:r>
          </w:p>
        </w:tc>
        <w:tc>
          <w:tcPr>
            <w:tcW w:w="697" w:type="dxa"/>
            <w:tcBorders>
              <w:top w:val="nil"/>
              <w:left w:val="nil"/>
              <w:bottom w:val="single" w:color="auto" w:sz="8"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5" w:type="dxa"/>
            <w:tcBorders>
              <w:top w:val="nil"/>
              <w:left w:val="nil"/>
              <w:bottom w:val="single" w:color="auto" w:sz="8"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10.38 </w:t>
            </w:r>
          </w:p>
        </w:tc>
        <w:tc>
          <w:tcPr>
            <w:tcW w:w="769" w:type="dxa"/>
            <w:tcBorders>
              <w:top w:val="nil"/>
              <w:left w:val="nil"/>
              <w:bottom w:val="single" w:color="auto" w:sz="8"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4.29 </w:t>
            </w:r>
          </w:p>
        </w:tc>
        <w:tc>
          <w:tcPr>
            <w:tcW w:w="769" w:type="dxa"/>
            <w:tcBorders>
              <w:top w:val="nil"/>
              <w:left w:val="nil"/>
              <w:bottom w:val="single" w:color="auto" w:sz="8"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-0.16 </w:t>
            </w:r>
          </w:p>
        </w:tc>
        <w:tc>
          <w:tcPr>
            <w:tcW w:w="662" w:type="dxa"/>
            <w:tcBorders>
              <w:top w:val="nil"/>
              <w:left w:val="nil"/>
              <w:bottom w:val="single" w:color="auto" w:sz="8" w:space="0"/>
              <w:right w:val="single" w:color="auto" w:sz="4" w:space="0"/>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69" w:type="dxa"/>
            <w:tcBorders>
              <w:top w:val="nil"/>
              <w:left w:val="nil"/>
              <w:bottom w:val="single" w:color="auto" w:sz="8" w:space="0"/>
              <w:right w:val="nil"/>
            </w:tcBorders>
            <w:shd w:val="clear" w:color="auto" w:fill="auto"/>
            <w:noWrap/>
            <w:vAlign w:val="center"/>
          </w:tcPr>
          <w:p>
            <w:pPr>
              <w:widowControl/>
              <w:spacing w:line="24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4.13 </w:t>
            </w:r>
          </w:p>
        </w:tc>
      </w:tr>
    </w:tbl>
    <w:p>
      <w:pPr>
        <w:pStyle w:val="17"/>
      </w:pPr>
      <w:r>
        <w:rPr>
          <w:rFonts w:hint="eastAsia"/>
        </w:rPr>
        <w:t xml:space="preserve">表5-2  </w:t>
      </w:r>
      <w:r>
        <w:t>耒阳市耕地</w:t>
      </w:r>
      <w:r>
        <w:rPr>
          <w:rFonts w:hint="eastAsia"/>
        </w:rPr>
        <w:t>保有量</w:t>
      </w:r>
      <w:r>
        <w:t>调整情况表</w:t>
      </w:r>
    </w:p>
    <w:tbl>
      <w:tblPr>
        <w:tblStyle w:val="22"/>
        <w:tblW w:w="8330" w:type="dxa"/>
        <w:jc w:val="center"/>
        <w:tblLayout w:type="autofit"/>
        <w:tblCellMar>
          <w:top w:w="0" w:type="dxa"/>
          <w:left w:w="108" w:type="dxa"/>
          <w:bottom w:w="0" w:type="dxa"/>
          <w:right w:w="108" w:type="dxa"/>
        </w:tblCellMar>
      </w:tblPr>
      <w:tblGrid>
        <w:gridCol w:w="1448"/>
        <w:gridCol w:w="1843"/>
        <w:gridCol w:w="1276"/>
        <w:gridCol w:w="1984"/>
        <w:gridCol w:w="1779"/>
      </w:tblGrid>
      <w:tr>
        <w:tblPrEx>
          <w:tblCellMar>
            <w:top w:w="0" w:type="dxa"/>
            <w:left w:w="108" w:type="dxa"/>
            <w:bottom w:w="0" w:type="dxa"/>
            <w:right w:w="108" w:type="dxa"/>
          </w:tblCellMar>
        </w:tblPrEx>
        <w:trPr>
          <w:trHeight w:val="717" w:hRule="atLeast"/>
          <w:jc w:val="center"/>
        </w:trPr>
        <w:tc>
          <w:tcPr>
            <w:tcW w:w="1448" w:type="dxa"/>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Chars="0"/>
              <w:rPr>
                <w:rFonts w:ascii="仿宋_GB2312" w:hAnsi="宋体" w:cs="宋体"/>
                <w:b/>
                <w:bCs/>
                <w:color w:val="000000"/>
                <w:kern w:val="0"/>
                <w:sz w:val="21"/>
                <w:szCs w:val="21"/>
              </w:rPr>
            </w:pPr>
            <w:r>
              <w:rPr>
                <w:rFonts w:hint="eastAsia" w:ascii="仿宋_GB2312" w:hAnsi="宋体" w:cs="宋体"/>
                <w:b/>
                <w:bCs/>
                <w:color w:val="000000"/>
                <w:kern w:val="0"/>
                <w:sz w:val="21"/>
                <w:szCs w:val="21"/>
              </w:rPr>
              <w:t>行政区划</w:t>
            </w:r>
          </w:p>
        </w:tc>
        <w:tc>
          <w:tcPr>
            <w:tcW w:w="1843" w:type="dxa"/>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2020年耕地面积（修改前）（公顷）</w:t>
            </w:r>
          </w:p>
        </w:tc>
        <w:tc>
          <w:tcPr>
            <w:tcW w:w="1276" w:type="dxa"/>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变化量</w:t>
            </w:r>
            <w:r>
              <w:rPr>
                <w:rFonts w:hint="eastAsia" w:ascii="仿宋_GB2312" w:hAnsi="宋体" w:cs="宋体"/>
                <w:b/>
                <w:bCs/>
                <w:color w:val="000000"/>
                <w:kern w:val="0"/>
                <w:sz w:val="21"/>
                <w:szCs w:val="21"/>
              </w:rPr>
              <w:br w:type="textWrapping"/>
            </w:r>
            <w:r>
              <w:rPr>
                <w:rFonts w:hint="eastAsia" w:ascii="仿宋_GB2312" w:hAnsi="宋体" w:cs="宋体"/>
                <w:b/>
                <w:bCs/>
                <w:color w:val="000000"/>
                <w:kern w:val="0"/>
                <w:sz w:val="21"/>
                <w:szCs w:val="21"/>
              </w:rPr>
              <w:t>（公顷）</w:t>
            </w:r>
          </w:p>
        </w:tc>
        <w:tc>
          <w:tcPr>
            <w:tcW w:w="1984"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2020年耕地面积（修改后）（公顷）</w:t>
            </w:r>
          </w:p>
        </w:tc>
        <w:tc>
          <w:tcPr>
            <w:tcW w:w="1779" w:type="dxa"/>
            <w:tcBorders>
              <w:top w:val="single" w:color="auto" w:sz="8" w:space="0"/>
              <w:left w:val="nil"/>
              <w:bottom w:val="single" w:color="auto" w:sz="4" w:space="0"/>
              <w:right w:val="nil"/>
            </w:tcBorders>
            <w:shd w:val="clear" w:color="auto" w:fill="auto"/>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2020年耕地保有量目标（修改后）（公顷）</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耒阳市</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65260.34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48.92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65309.26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63420.00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蔡子池街道</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95"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灶市街道</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1884.55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-47.42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1837.13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1780.00 </w:t>
            </w:r>
          </w:p>
        </w:tc>
      </w:tr>
      <w:tr>
        <w:tblPrEx>
          <w:tblCellMar>
            <w:top w:w="0" w:type="dxa"/>
            <w:left w:w="108" w:type="dxa"/>
            <w:bottom w:w="0" w:type="dxa"/>
            <w:right w:w="108" w:type="dxa"/>
          </w:tblCellMar>
        </w:tblPrEx>
        <w:trPr>
          <w:trHeight w:val="295"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水东江街道</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2427.15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3.46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2430.61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2350.00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五里牌街道</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206.84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75.09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281.93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三架街道</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891.89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-50.25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841.64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810.00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余庆街道</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3292.65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-30.84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3261.81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3230.00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新市镇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2410.48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8.95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2419.43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2350.00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遥田镇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1625.06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6.15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1631.21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1570.00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夏塘镇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2029.20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-0.20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2029.00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1960.00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南京镇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2188.91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-1.77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2187.14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2110.00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公平圩镇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2420.28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5.21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2425.49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2360.00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黄市镇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1064.38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-10.80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1053.58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980.00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小水镇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3534.62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-0.28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3534.34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3440.00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哲桥镇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3279.26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-15.24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3264.02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3140.00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三都镇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2925.63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4.40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2930.03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2860.00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永济镇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2134.70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7.43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2142.13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2080.00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龙塘镇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1519.10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5.19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1524.29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1470.00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大市镇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3598.72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-2.85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3595.87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3460.00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淝田镇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2054.37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8.14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2062.51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1990.00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南阳镇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2023.51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11.69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2035.20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1980.00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仁义镇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2596.72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1.56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2598.28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2550.00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导子镇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2537.02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11.50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2548.52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2490.00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马水镇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3967.47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23.59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3991.06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3930.00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东湖圩镇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2181.31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2.68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2183.99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大义镇</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1749.83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5.52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1755.35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1710.00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大和圩乡</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2882.57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5.97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2888.54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2840.00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坛下乡</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2167.29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0.56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2167.85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长坪乡</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2140.45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14.75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2155.20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2100.00 </w:t>
            </w:r>
          </w:p>
        </w:tc>
      </w:tr>
      <w:tr>
        <w:tblPrEx>
          <w:tblCellMar>
            <w:top w:w="0" w:type="dxa"/>
            <w:left w:w="108" w:type="dxa"/>
            <w:bottom w:w="0" w:type="dxa"/>
            <w:right w:w="108" w:type="dxa"/>
          </w:tblCellMar>
        </w:tblPrEx>
        <w:trPr>
          <w:trHeight w:val="280" w:hRule="atLeast"/>
          <w:jc w:val="center"/>
        </w:trPr>
        <w:tc>
          <w:tcPr>
            <w:tcW w:w="1448"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太平圩乡</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1390.91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2.60 </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1393.51 </w:t>
            </w:r>
          </w:p>
        </w:tc>
        <w:tc>
          <w:tcPr>
            <w:tcW w:w="1779" w:type="dxa"/>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1350.00 </w:t>
            </w:r>
          </w:p>
        </w:tc>
      </w:tr>
      <w:tr>
        <w:tblPrEx>
          <w:tblCellMar>
            <w:top w:w="0" w:type="dxa"/>
            <w:left w:w="108" w:type="dxa"/>
            <w:bottom w:w="0" w:type="dxa"/>
            <w:right w:w="108" w:type="dxa"/>
          </w:tblCellMar>
        </w:tblPrEx>
        <w:trPr>
          <w:trHeight w:val="295" w:hRule="atLeast"/>
          <w:jc w:val="center"/>
        </w:trPr>
        <w:tc>
          <w:tcPr>
            <w:tcW w:w="1448" w:type="dxa"/>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亮源乡</w:t>
            </w:r>
          </w:p>
        </w:tc>
        <w:tc>
          <w:tcPr>
            <w:tcW w:w="1843" w:type="dxa"/>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2135.47 </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4.13 </w:t>
            </w:r>
          </w:p>
        </w:tc>
        <w:tc>
          <w:tcPr>
            <w:tcW w:w="1984" w:type="dxa"/>
            <w:tcBorders>
              <w:top w:val="nil"/>
              <w:left w:val="single" w:color="auto" w:sz="4" w:space="0"/>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2139.60 </w:t>
            </w:r>
          </w:p>
        </w:tc>
        <w:tc>
          <w:tcPr>
            <w:tcW w:w="1779" w:type="dxa"/>
            <w:tcBorders>
              <w:top w:val="nil"/>
              <w:left w:val="nil"/>
              <w:bottom w:val="single" w:color="auto" w:sz="8"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2090.00 </w:t>
            </w:r>
          </w:p>
        </w:tc>
      </w:tr>
    </w:tbl>
    <w:p>
      <w:pPr>
        <w:pStyle w:val="17"/>
      </w:pPr>
      <w:r>
        <w:rPr>
          <w:rFonts w:hint="eastAsia"/>
        </w:rPr>
        <w:t xml:space="preserve">表5-3  </w:t>
      </w:r>
      <w:r>
        <w:t>耒阳市基本农田</w:t>
      </w:r>
      <w:r>
        <w:rPr>
          <w:rFonts w:hint="eastAsia"/>
        </w:rPr>
        <w:t>布局</w:t>
      </w:r>
      <w:r>
        <w:t>调整情况</w:t>
      </w:r>
      <w:r>
        <w:rPr>
          <w:rFonts w:hint="eastAsia"/>
        </w:rPr>
        <w:t>表</w:t>
      </w:r>
    </w:p>
    <w:tbl>
      <w:tblPr>
        <w:tblStyle w:val="22"/>
        <w:tblW w:w="4606" w:type="pct"/>
        <w:jc w:val="center"/>
        <w:tblLayout w:type="autofit"/>
        <w:tblCellMar>
          <w:top w:w="0" w:type="dxa"/>
          <w:left w:w="108" w:type="dxa"/>
          <w:bottom w:w="0" w:type="dxa"/>
          <w:right w:w="108" w:type="dxa"/>
        </w:tblCellMar>
      </w:tblPr>
      <w:tblGrid>
        <w:gridCol w:w="1557"/>
        <w:gridCol w:w="1867"/>
        <w:gridCol w:w="1441"/>
        <w:gridCol w:w="1373"/>
        <w:gridCol w:w="1705"/>
        <w:gridCol w:w="1702"/>
      </w:tblGrid>
      <w:tr>
        <w:tblPrEx>
          <w:tblCellMar>
            <w:top w:w="0" w:type="dxa"/>
            <w:left w:w="108" w:type="dxa"/>
            <w:bottom w:w="0" w:type="dxa"/>
            <w:right w:w="108" w:type="dxa"/>
          </w:tblCellMar>
        </w:tblPrEx>
        <w:trPr>
          <w:trHeight w:val="327" w:hRule="atLeast"/>
          <w:jc w:val="center"/>
        </w:trPr>
        <w:tc>
          <w:tcPr>
            <w:tcW w:w="807" w:type="pct"/>
            <w:vMerge w:val="restar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422" w:firstLineChars="0"/>
              <w:rPr>
                <w:rFonts w:ascii="仿宋_GB2312" w:hAnsi="宋体" w:cs="宋体"/>
                <w:b/>
                <w:bCs/>
                <w:color w:val="000000"/>
                <w:kern w:val="0"/>
                <w:sz w:val="21"/>
                <w:szCs w:val="21"/>
              </w:rPr>
            </w:pPr>
            <w:r>
              <w:rPr>
                <w:rFonts w:hint="eastAsia" w:ascii="仿宋_GB2312" w:hAnsi="宋体" w:cs="宋体"/>
                <w:b/>
                <w:bCs/>
                <w:color w:val="000000"/>
                <w:kern w:val="0"/>
                <w:sz w:val="21"/>
                <w:szCs w:val="21"/>
              </w:rPr>
              <w:t>行政区域</w:t>
            </w:r>
          </w:p>
        </w:tc>
        <w:tc>
          <w:tcPr>
            <w:tcW w:w="968" w:type="pct"/>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2014年现状</w:t>
            </w:r>
          </w:p>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规模（公顷）</w:t>
            </w:r>
          </w:p>
        </w:tc>
        <w:tc>
          <w:tcPr>
            <w:tcW w:w="1459" w:type="pct"/>
            <w:gridSpan w:val="2"/>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调整面积（公顷）</w:t>
            </w:r>
          </w:p>
        </w:tc>
        <w:tc>
          <w:tcPr>
            <w:tcW w:w="884" w:type="pct"/>
            <w:vMerge w:val="restart"/>
            <w:tcBorders>
              <w:top w:val="single" w:color="auto" w:sz="4" w:space="0"/>
              <w:left w:val="single" w:color="auto" w:sz="4" w:space="0"/>
              <w:bottom w:val="single" w:color="auto" w:sz="4" w:space="0"/>
              <w:right w:val="nil"/>
            </w:tcBorders>
            <w:shd w:val="clear" w:color="auto" w:fill="auto"/>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2020年数据库落实（调整后）</w:t>
            </w:r>
            <w:r>
              <w:rPr>
                <w:rFonts w:hint="eastAsia" w:ascii="仿宋_GB2312" w:hAnsi="宋体" w:cs="宋体"/>
                <w:b/>
                <w:bCs/>
                <w:color w:val="000000"/>
                <w:kern w:val="0"/>
                <w:sz w:val="21"/>
                <w:szCs w:val="21"/>
              </w:rPr>
              <w:br w:type="textWrapping"/>
            </w:r>
            <w:r>
              <w:rPr>
                <w:rFonts w:hint="eastAsia" w:ascii="仿宋_GB2312" w:hAnsi="宋体" w:cs="宋体"/>
                <w:b/>
                <w:bCs/>
                <w:color w:val="000000"/>
                <w:kern w:val="0"/>
                <w:sz w:val="21"/>
                <w:szCs w:val="21"/>
              </w:rPr>
              <w:t>（公顷）</w:t>
            </w:r>
          </w:p>
        </w:tc>
        <w:tc>
          <w:tcPr>
            <w:tcW w:w="883" w:type="pct"/>
            <w:vMerge w:val="restart"/>
            <w:tcBorders>
              <w:top w:val="single" w:color="auto" w:sz="8" w:space="0"/>
              <w:left w:val="single" w:color="auto" w:sz="4" w:space="0"/>
              <w:right w:val="nil"/>
            </w:tcBorders>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2020年基本农田规划目标（修改后）（公顷）</w:t>
            </w:r>
          </w:p>
        </w:tc>
      </w:tr>
      <w:tr>
        <w:tblPrEx>
          <w:tblCellMar>
            <w:top w:w="0" w:type="dxa"/>
            <w:left w:w="108" w:type="dxa"/>
            <w:bottom w:w="0" w:type="dxa"/>
            <w:right w:w="108" w:type="dxa"/>
          </w:tblCellMar>
        </w:tblPrEx>
        <w:trPr>
          <w:trHeight w:val="201" w:hRule="atLeast"/>
          <w:jc w:val="center"/>
        </w:trPr>
        <w:tc>
          <w:tcPr>
            <w:tcW w:w="807" w:type="pct"/>
            <w:vMerge w:val="continue"/>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b/>
                <w:bCs/>
                <w:color w:val="000000"/>
                <w:kern w:val="0"/>
                <w:sz w:val="21"/>
                <w:szCs w:val="21"/>
              </w:rPr>
            </w:pPr>
          </w:p>
        </w:tc>
        <w:tc>
          <w:tcPr>
            <w:tcW w:w="968" w:type="pct"/>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仿宋_GB2312" w:hAnsi="宋体" w:cs="宋体"/>
                <w:b/>
                <w:bCs/>
                <w:color w:val="000000"/>
                <w:kern w:val="0"/>
                <w:sz w:val="21"/>
                <w:szCs w:val="21"/>
              </w:rPr>
            </w:pPr>
          </w:p>
        </w:tc>
        <w:tc>
          <w:tcPr>
            <w:tcW w:w="74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补划</w:t>
            </w:r>
          </w:p>
        </w:tc>
        <w:tc>
          <w:tcPr>
            <w:tcW w:w="7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调出</w:t>
            </w:r>
          </w:p>
        </w:tc>
        <w:tc>
          <w:tcPr>
            <w:tcW w:w="884" w:type="pct"/>
            <w:vMerge w:val="continue"/>
            <w:tcBorders>
              <w:top w:val="single" w:color="auto" w:sz="4" w:space="0"/>
              <w:left w:val="single" w:color="auto" w:sz="4" w:space="0"/>
              <w:bottom w:val="single" w:color="auto" w:sz="4" w:space="0"/>
              <w:right w:val="nil"/>
            </w:tcBorders>
            <w:vAlign w:val="center"/>
          </w:tcPr>
          <w:p>
            <w:pPr>
              <w:widowControl/>
              <w:spacing w:line="240" w:lineRule="auto"/>
              <w:ind w:firstLine="0" w:firstLineChars="0"/>
              <w:jc w:val="left"/>
              <w:rPr>
                <w:rFonts w:ascii="仿宋_GB2312" w:hAnsi="宋体" w:cs="宋体"/>
                <w:b/>
                <w:bCs/>
                <w:color w:val="000000"/>
                <w:kern w:val="0"/>
                <w:sz w:val="21"/>
                <w:szCs w:val="21"/>
              </w:rPr>
            </w:pPr>
          </w:p>
        </w:tc>
        <w:tc>
          <w:tcPr>
            <w:tcW w:w="883" w:type="pct"/>
            <w:vMerge w:val="continue"/>
            <w:tcBorders>
              <w:left w:val="single" w:color="auto" w:sz="4" w:space="0"/>
              <w:bottom w:val="single" w:color="000000" w:sz="4" w:space="0"/>
              <w:right w:val="nil"/>
            </w:tcBorders>
          </w:tcPr>
          <w:p>
            <w:pPr>
              <w:widowControl/>
              <w:spacing w:line="240" w:lineRule="auto"/>
              <w:ind w:firstLine="0" w:firstLineChars="0"/>
              <w:jc w:val="left"/>
              <w:rPr>
                <w:rFonts w:ascii="仿宋_GB2312" w:hAnsi="宋体" w:cs="宋体"/>
                <w:b/>
                <w:bCs/>
                <w:color w:val="000000"/>
                <w:kern w:val="0"/>
                <w:sz w:val="21"/>
                <w:szCs w:val="21"/>
              </w:rPr>
            </w:pP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耒阳市</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52803.07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3687.37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3288.38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53202.06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53130.00 </w:t>
            </w:r>
          </w:p>
        </w:tc>
      </w:tr>
      <w:tr>
        <w:tblPrEx>
          <w:tblCellMar>
            <w:top w:w="0" w:type="dxa"/>
            <w:left w:w="108" w:type="dxa"/>
            <w:bottom w:w="0" w:type="dxa"/>
            <w:right w:w="108" w:type="dxa"/>
          </w:tblCellMar>
        </w:tblPrEx>
        <w:trPr>
          <w:trHeight w:val="293"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蔡子池街道</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93"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灶市街道</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1128.52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407.01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101.63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1433.90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1430.00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水东江街道</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1394.28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454.30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85.34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1763.24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1760.00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五里牌街道</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89.19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36.99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91.72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34.46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三架街道</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573.41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210.97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42.28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742.10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740.00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余庆街道</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2181.08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408.15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141.83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2447.40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2445.00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新市镇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2188.33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48.16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107.70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2128.79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2125.00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遥田镇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1442.36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41.33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54.94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1428.75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1426.00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夏塘镇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1739.91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22.39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99.55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1662.75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1660.00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南京镇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1893.66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47.78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94.87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1846.57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1844.00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公平圩镇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2183.20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50.76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194.60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2039.36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2037.00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黄市镇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763.81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68.37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163.58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668.60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666.00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小水镇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3001.18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57.33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217.03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2841.48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2838.00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哲桥镇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2584.76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124.59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160.27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2549.08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2545.00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三都镇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2191.55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75.40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137.23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2129.72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2127.00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永济镇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1899.46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143.15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54.30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1988.31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1986.00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龙塘镇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1148.77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14.16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67.92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1095.01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1093.00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大市镇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2614.15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266.12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142.75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2737.52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2735.00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淝田镇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1695.88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203.51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102.12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1797.27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1795.00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南阳镇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1565.83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52.87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117.07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1501.63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1500.00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仁义镇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2446.36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31.35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100.61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2377.10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2375.00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导子镇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2024.50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132.13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139.06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2017.57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2015.00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马水镇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3633.76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120.78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104.48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3650.06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3649.00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东湖圩镇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1655.36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58.34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128.74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1584.96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1583.00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大义镇</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1564.18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22.26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94.85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1491.59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1490.00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大和圩乡</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2609.57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43.15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135.02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2517.70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2516.00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坛下乡</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1927.98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9.82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70.98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1866.82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1865.00 </w:t>
            </w:r>
          </w:p>
        </w:tc>
      </w:tr>
      <w:tr>
        <w:tblPrEx>
          <w:tblCellMar>
            <w:top w:w="0" w:type="dxa"/>
            <w:left w:w="108" w:type="dxa"/>
            <w:bottom w:w="0" w:type="dxa"/>
            <w:right w:w="108" w:type="dxa"/>
          </w:tblCellMar>
        </w:tblPrEx>
        <w:trPr>
          <w:trHeight w:val="278"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长坪乡</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1418.58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446.58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117.54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1747.62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1746.00 </w:t>
            </w:r>
          </w:p>
        </w:tc>
      </w:tr>
      <w:tr>
        <w:tblPrEx>
          <w:tblCellMar>
            <w:top w:w="0" w:type="dxa"/>
            <w:left w:w="108" w:type="dxa"/>
            <w:bottom w:w="0" w:type="dxa"/>
            <w:right w:w="108" w:type="dxa"/>
          </w:tblCellMar>
        </w:tblPrEx>
        <w:trPr>
          <w:trHeight w:val="293" w:hRule="atLeast"/>
          <w:jc w:val="center"/>
        </w:trPr>
        <w:tc>
          <w:tcPr>
            <w:tcW w:w="80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太平圩乡</w:t>
            </w:r>
          </w:p>
        </w:tc>
        <w:tc>
          <w:tcPr>
            <w:tcW w:w="9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1125.73 </w:t>
            </w:r>
          </w:p>
        </w:tc>
        <w:tc>
          <w:tcPr>
            <w:tcW w:w="74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62.78 </w:t>
            </w:r>
          </w:p>
        </w:tc>
        <w:tc>
          <w:tcPr>
            <w:tcW w:w="7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127.79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1060.72 </w:t>
            </w:r>
          </w:p>
        </w:tc>
        <w:tc>
          <w:tcPr>
            <w:tcW w:w="883" w:type="pct"/>
            <w:tcBorders>
              <w:top w:val="nil"/>
              <w:left w:val="single" w:color="auto" w:sz="4" w:space="0"/>
              <w:bottom w:val="single" w:color="auto" w:sz="4"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1059.00 </w:t>
            </w:r>
          </w:p>
        </w:tc>
      </w:tr>
      <w:tr>
        <w:tblPrEx>
          <w:tblCellMar>
            <w:top w:w="0" w:type="dxa"/>
            <w:left w:w="108" w:type="dxa"/>
            <w:bottom w:w="0" w:type="dxa"/>
            <w:right w:w="108" w:type="dxa"/>
          </w:tblCellMar>
        </w:tblPrEx>
        <w:trPr>
          <w:trHeight w:val="293" w:hRule="atLeast"/>
          <w:jc w:val="center"/>
        </w:trPr>
        <w:tc>
          <w:tcPr>
            <w:tcW w:w="807"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亮源乡</w:t>
            </w:r>
          </w:p>
        </w:tc>
        <w:tc>
          <w:tcPr>
            <w:tcW w:w="968"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2117.72 </w:t>
            </w:r>
          </w:p>
        </w:tc>
        <w:tc>
          <w:tcPr>
            <w:tcW w:w="747"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26.84 </w:t>
            </w:r>
          </w:p>
        </w:tc>
        <w:tc>
          <w:tcPr>
            <w:tcW w:w="712"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92.58 </w:t>
            </w:r>
          </w:p>
        </w:tc>
        <w:tc>
          <w:tcPr>
            <w:tcW w:w="884"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2051.98 </w:t>
            </w:r>
          </w:p>
        </w:tc>
        <w:tc>
          <w:tcPr>
            <w:tcW w:w="883" w:type="pct"/>
            <w:tcBorders>
              <w:top w:val="nil"/>
              <w:left w:val="single" w:color="auto" w:sz="4" w:space="0"/>
              <w:bottom w:val="single" w:color="auto" w:sz="8" w:space="0"/>
              <w:right w:val="nil"/>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2050.00 </w:t>
            </w:r>
          </w:p>
        </w:tc>
      </w:tr>
    </w:tbl>
    <w:p>
      <w:pPr>
        <w:pStyle w:val="3"/>
        <w:ind w:firstLine="602"/>
      </w:pPr>
      <w:bookmarkStart w:id="165" w:name="_Toc485040264"/>
      <w:bookmarkStart w:id="166" w:name="_Toc469327958"/>
      <w:bookmarkStart w:id="167" w:name="_Toc477514088"/>
      <w:r>
        <w:t>第二节</w:t>
      </w:r>
      <w:r>
        <w:rPr>
          <w:rFonts w:hint="eastAsia"/>
        </w:rPr>
        <w:t xml:space="preserve">  </w:t>
      </w:r>
      <w:r>
        <w:t>建设用地布局调整</w:t>
      </w:r>
      <w:bookmarkEnd w:id="165"/>
      <w:bookmarkEnd w:id="166"/>
      <w:bookmarkEnd w:id="167"/>
    </w:p>
    <w:p>
      <w:pPr>
        <w:pStyle w:val="4"/>
        <w:ind w:firstLine="562"/>
      </w:pPr>
      <w:r>
        <w:rPr>
          <w:rFonts w:hint="eastAsia"/>
        </w:rPr>
        <w:t>一、城乡建设用地布局调整</w:t>
      </w:r>
    </w:p>
    <w:p>
      <w:pPr>
        <w:pStyle w:val="4"/>
        <w:ind w:firstLine="562"/>
      </w:pPr>
      <w:r>
        <w:rPr>
          <w:rFonts w:hint="eastAsia"/>
        </w:rPr>
        <w:t>1、城镇用地布局调整</w:t>
      </w:r>
    </w:p>
    <w:p>
      <w:pPr>
        <w:ind w:firstLine="560"/>
      </w:pPr>
      <w:r>
        <w:rPr>
          <w:rFonts w:hint="eastAsia"/>
        </w:rPr>
        <w:t>本次</w:t>
      </w:r>
      <w:r>
        <w:t>规划修改，调入城镇用地</w:t>
      </w:r>
      <w:r>
        <w:rPr>
          <w:rFonts w:hint="eastAsia"/>
        </w:rPr>
        <w:t>876.30</w:t>
      </w:r>
      <w:r>
        <w:t>公顷</w:t>
      </w:r>
      <w:r>
        <w:rPr>
          <w:rFonts w:hint="eastAsia"/>
        </w:rPr>
        <w:t>，主要布局在水东江、三架、余庆、哲桥镇等乡（镇、街道）。调出城镇用地731.04</w:t>
      </w:r>
      <w:r>
        <w:t>公顷</w:t>
      </w:r>
      <w:r>
        <w:rPr>
          <w:rFonts w:hint="eastAsia"/>
        </w:rPr>
        <w:t>，主要布局在蔡子池、灶市、五里牌等街道。</w:t>
      </w:r>
      <w:r>
        <w:t>城镇用地</w:t>
      </w:r>
      <w:r>
        <w:rPr>
          <w:rFonts w:hint="eastAsia"/>
        </w:rPr>
        <w:t>与采矿及其他独立建设用地之间进行地类置换，增加城镇用地742.13公顷，</w:t>
      </w:r>
      <w:r>
        <w:t>主要</w:t>
      </w:r>
      <w:r>
        <w:rPr>
          <w:rFonts w:hint="eastAsia"/>
        </w:rPr>
        <w:t>布局在灶市街道、三架街道、五里牌街道。</w:t>
      </w:r>
      <w:r>
        <w:t>规划</w:t>
      </w:r>
      <w:r>
        <w:rPr>
          <w:rFonts w:hint="eastAsia"/>
        </w:rPr>
        <w:t>修改</w:t>
      </w:r>
      <w:r>
        <w:t>后，</w:t>
      </w:r>
      <w:r>
        <w:rPr>
          <w:rFonts w:hint="eastAsia"/>
        </w:rPr>
        <w:t>到2020年，全市城镇用地规模控制在</w:t>
      </w:r>
      <w:r>
        <w:rPr>
          <w:rFonts w:hint="eastAsia"/>
          <w:bCs/>
        </w:rPr>
        <w:t>6296.02</w:t>
      </w:r>
      <w:r>
        <w:rPr>
          <w:rFonts w:hint="eastAsia"/>
        </w:rPr>
        <w:t>公顷以内，较修改前</w:t>
      </w:r>
      <w:r>
        <w:t>增加</w:t>
      </w:r>
      <w:r>
        <w:rPr>
          <w:rFonts w:hint="eastAsia"/>
        </w:rPr>
        <w:t>887.39</w:t>
      </w:r>
      <w:r>
        <w:t>公顷（表</w:t>
      </w:r>
      <w:r>
        <w:rPr>
          <w:rFonts w:hint="eastAsia"/>
        </w:rPr>
        <w:t>5-4</w:t>
      </w:r>
      <w:r>
        <w:t>）。</w:t>
      </w:r>
    </w:p>
    <w:p>
      <w:pPr>
        <w:ind w:firstLine="560"/>
      </w:pPr>
      <w:r>
        <w:rPr>
          <w:rFonts w:hint="eastAsia"/>
        </w:rPr>
        <w:t>调入城镇用地主要用于两个方面，一是根据《耒阳市国民经济和社会发展第十三个五年规划》、《耒阳市城市总体规划（2015—2030）》，耒阳市中心城区建设将开创新的局面，城市空间结构将进一步优化，中心城区将按照西延北进的发展方向，统筹安排新城区生产空间、生活空间、生态空间。重点保障北部新区、武广新城片区、东部鹿岐峰新区等区域的建设用地需求。二是满足耒阳市经济技术开发区的用地需求。</w:t>
      </w:r>
    </w:p>
    <w:p>
      <w:pPr>
        <w:ind w:firstLine="560"/>
      </w:pPr>
      <w:r>
        <w:rPr>
          <w:rFonts w:hint="eastAsia"/>
        </w:rPr>
        <w:t>调出城镇用地主要为两类，一是近期不会开发利用或地形地质条件不适宜建设区域的城镇用地，如三架街道白洋渡村濒临耒水河的城镇用地。二是因行政区划调整、合并乡镇后，距离城镇发展中心的城镇用地，如灶市街道原泗门州镇辖区内，水东江街道原竹市镇辖区的城镇用地。</w:t>
      </w:r>
    </w:p>
    <w:p>
      <w:pPr>
        <w:ind w:firstLine="560"/>
        <w:rPr>
          <w:rFonts w:cs="Times New Roman"/>
          <w:szCs w:val="28"/>
        </w:rPr>
      </w:pPr>
    </w:p>
    <w:p>
      <w:pPr>
        <w:ind w:firstLine="560"/>
        <w:rPr>
          <w:rFonts w:cs="Times New Roman"/>
          <w:szCs w:val="28"/>
        </w:rPr>
      </w:pPr>
    </w:p>
    <w:p>
      <w:pPr>
        <w:ind w:firstLine="560"/>
        <w:rPr>
          <w:rFonts w:cs="Times New Roman"/>
          <w:szCs w:val="28"/>
        </w:rPr>
      </w:pPr>
    </w:p>
    <w:p>
      <w:pPr>
        <w:ind w:firstLine="560"/>
        <w:rPr>
          <w:rFonts w:cs="Times New Roman"/>
          <w:szCs w:val="28"/>
        </w:rPr>
      </w:pPr>
    </w:p>
    <w:p>
      <w:pPr>
        <w:ind w:firstLine="560"/>
        <w:rPr>
          <w:rFonts w:cs="Times New Roman"/>
          <w:szCs w:val="28"/>
        </w:rPr>
      </w:pPr>
    </w:p>
    <w:p>
      <w:pPr>
        <w:ind w:firstLine="560"/>
        <w:rPr>
          <w:rFonts w:cs="Times New Roman"/>
          <w:szCs w:val="28"/>
        </w:rPr>
      </w:pPr>
    </w:p>
    <w:p>
      <w:pPr>
        <w:ind w:firstLine="560"/>
        <w:rPr>
          <w:rFonts w:cs="Times New Roman"/>
          <w:szCs w:val="28"/>
        </w:rPr>
      </w:pPr>
    </w:p>
    <w:p>
      <w:pPr>
        <w:pStyle w:val="17"/>
      </w:pPr>
      <w:r>
        <w:t>表</w:t>
      </w:r>
      <w:r>
        <w:rPr>
          <w:rFonts w:hint="eastAsia"/>
        </w:rPr>
        <w:t xml:space="preserve">5-4  </w:t>
      </w:r>
      <w:r>
        <w:t>耒阳市城镇用地布局调整情况表</w:t>
      </w:r>
    </w:p>
    <w:tbl>
      <w:tblPr>
        <w:tblStyle w:val="22"/>
        <w:tblW w:w="4617" w:type="pct"/>
        <w:jc w:val="center"/>
        <w:tblLayout w:type="autofit"/>
        <w:tblCellMar>
          <w:top w:w="0" w:type="dxa"/>
          <w:left w:w="108" w:type="dxa"/>
          <w:bottom w:w="0" w:type="dxa"/>
          <w:right w:w="108" w:type="dxa"/>
        </w:tblCellMar>
      </w:tblPr>
      <w:tblGrid>
        <w:gridCol w:w="1266"/>
        <w:gridCol w:w="1551"/>
        <w:gridCol w:w="1234"/>
        <w:gridCol w:w="1268"/>
        <w:gridCol w:w="1294"/>
        <w:gridCol w:w="1562"/>
        <w:gridCol w:w="1493"/>
      </w:tblGrid>
      <w:tr>
        <w:tblPrEx>
          <w:tblCellMar>
            <w:top w:w="0" w:type="dxa"/>
            <w:left w:w="108" w:type="dxa"/>
            <w:bottom w:w="0" w:type="dxa"/>
            <w:right w:w="108" w:type="dxa"/>
          </w:tblCellMar>
        </w:tblPrEx>
        <w:trPr>
          <w:trHeight w:val="622" w:hRule="atLeast"/>
          <w:jc w:val="center"/>
        </w:trPr>
        <w:tc>
          <w:tcPr>
            <w:tcW w:w="655"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行政区划</w:t>
            </w:r>
          </w:p>
        </w:tc>
        <w:tc>
          <w:tcPr>
            <w:tcW w:w="802"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 xml:space="preserve">修改前规模 </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638"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调入规模</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656"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调出规模</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669" w:type="pct"/>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置换</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808" w:type="pct"/>
            <w:tcBorders>
              <w:top w:val="single" w:color="auto" w:sz="8" w:space="0"/>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修改后规模</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772" w:type="pct"/>
            <w:tcBorders>
              <w:top w:val="single" w:color="auto" w:sz="8" w:space="0"/>
              <w:left w:val="nil"/>
              <w:bottom w:val="single" w:color="auto" w:sz="4" w:space="0"/>
              <w:right w:val="nil"/>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变化量</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耒阳市</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5408.63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876.30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731.04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742.13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6296.02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887.39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蔡子池街道</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946.58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0.19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946.77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0.19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灶市街道</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709.37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54.38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244.24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107.29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626.80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-82.57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水东江街道</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954.63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77.47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137.83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5.77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900.04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-54.59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五里牌街道</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1029.13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76.73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241.58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55.62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919.90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-109.23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三架街道</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967.29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218.04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83.95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536.47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1637.85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670.56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余庆街道</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228.29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400.06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21.67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36.79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643.47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415.18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新市镇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81.63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0.15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81.48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-0.15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遥田镇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93.19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0.91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0.76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93.34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0.15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夏塘镇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23.11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0.27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23.38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0.27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南京镇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0.48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0.48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0.48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公平圩镇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5.47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0.09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5.38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-0.09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黄市镇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44.36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0.08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44.28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-0.08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小水镇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104.29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0.36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103.93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-0.36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哲桥镇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94.71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47.09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0.12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141.68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46.97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三都镇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42.43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42.42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永济镇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18.61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0.33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18.94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0.33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龙塘镇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24.43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0.09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24.34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-0.09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大市镇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9.67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0.03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9.64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-0.03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淝田镇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9.32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9.32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南阳镇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19.01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0.08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18.93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-0.08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仁义镇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0.12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0.12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0.12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导子镇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2.94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2.94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马水镇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0.17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0.17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东湖圩镇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大义镇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大和圩乡</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坛下乡</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长坪乡</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0.22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0.22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0.22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太平圩乡</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0.20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0.20 </w:t>
            </w:r>
          </w:p>
        </w:tc>
      </w:tr>
      <w:tr>
        <w:tblPrEx>
          <w:tblCellMar>
            <w:top w:w="0" w:type="dxa"/>
            <w:left w:w="108" w:type="dxa"/>
            <w:bottom w:w="0" w:type="dxa"/>
            <w:right w:w="108" w:type="dxa"/>
          </w:tblCellMar>
        </w:tblPrEx>
        <w:trPr>
          <w:trHeight w:val="372" w:hRule="atLeast"/>
          <w:jc w:val="center"/>
        </w:trPr>
        <w:tc>
          <w:tcPr>
            <w:tcW w:w="655"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亮源乡</w:t>
            </w:r>
          </w:p>
        </w:tc>
        <w:tc>
          <w:tcPr>
            <w:tcW w:w="802"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38"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c>
          <w:tcPr>
            <w:tcW w:w="772" w:type="pct"/>
            <w:tcBorders>
              <w:top w:val="nil"/>
              <w:left w:val="nil"/>
              <w:bottom w:val="single" w:color="auto" w:sz="8"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bl>
    <w:p>
      <w:pPr>
        <w:pStyle w:val="4"/>
        <w:ind w:firstLine="562"/>
      </w:pPr>
      <w:r>
        <w:rPr>
          <w:rFonts w:hint="eastAsia"/>
        </w:rPr>
        <w:t>2、</w:t>
      </w:r>
      <w:r>
        <w:t>采矿及其他独立建设用地布局调整</w:t>
      </w:r>
    </w:p>
    <w:p>
      <w:pPr>
        <w:ind w:firstLine="560"/>
      </w:pPr>
      <w:r>
        <w:rPr>
          <w:rFonts w:hint="eastAsia"/>
        </w:rPr>
        <w:t>本次</w:t>
      </w:r>
      <w:r>
        <w:t>规划修改，调入采矿及其他独立建设用地</w:t>
      </w:r>
      <w:r>
        <w:rPr>
          <w:rFonts w:hint="eastAsia"/>
        </w:rPr>
        <w:t>363.61</w:t>
      </w:r>
      <w:r>
        <w:t>公顷，调</w:t>
      </w:r>
      <w:r>
        <w:rPr>
          <w:rFonts w:hint="eastAsia"/>
        </w:rPr>
        <w:t>出</w:t>
      </w:r>
      <w:r>
        <w:t>采矿及其他独立建设用地</w:t>
      </w:r>
      <w:r>
        <w:rPr>
          <w:rFonts w:hint="eastAsia"/>
        </w:rPr>
        <w:t>768.95</w:t>
      </w:r>
      <w:r>
        <w:t>公顷，城镇用地</w:t>
      </w:r>
      <w:r>
        <w:rPr>
          <w:rFonts w:hint="eastAsia"/>
        </w:rPr>
        <w:t>与采矿及其他独立建设用地之间进行地类置换，调出采矿及其他独立建设用地742.13公顷</w:t>
      </w:r>
      <w:r>
        <w:t>。规划修改后，到2020年，耒阳市采矿及其他独立建设用地规模控制在1</w:t>
      </w:r>
      <w:r>
        <w:rPr>
          <w:rFonts w:hint="eastAsia"/>
        </w:rPr>
        <w:t>510.43</w:t>
      </w:r>
      <w:r>
        <w:t>公顷以内，较修改前减少1</w:t>
      </w:r>
      <w:r>
        <w:rPr>
          <w:rFonts w:hint="eastAsia"/>
        </w:rPr>
        <w:t>147.47</w:t>
      </w:r>
      <w:r>
        <w:t>公顷（表</w:t>
      </w:r>
      <w:r>
        <w:rPr>
          <w:rFonts w:hint="eastAsia"/>
        </w:rPr>
        <w:t>5-5</w:t>
      </w:r>
      <w:r>
        <w:t>）。</w:t>
      </w:r>
    </w:p>
    <w:p>
      <w:pPr>
        <w:ind w:firstLine="560"/>
      </w:pPr>
      <w:r>
        <w:t>调入采矿及其他独立建设用地</w:t>
      </w:r>
      <w:r>
        <w:rPr>
          <w:rFonts w:hint="eastAsia"/>
        </w:rPr>
        <w:t>主要分布在水东江街道和大市镇。调入</w:t>
      </w:r>
      <w:r>
        <w:t>采矿及其他独立建设用地</w:t>
      </w:r>
      <w:r>
        <w:rPr>
          <w:rFonts w:hint="eastAsia"/>
        </w:rPr>
        <w:t>主要用于双州物流园的建设与满足大市循环经济产业园建设的发展要求。</w:t>
      </w:r>
    </w:p>
    <w:p>
      <w:pPr>
        <w:ind w:firstLine="560"/>
      </w:pPr>
      <w:r>
        <w:rPr>
          <w:rFonts w:hint="eastAsia"/>
        </w:rPr>
        <w:t>调出地块主要涉及三架、余庆、灶市、水东江、五里牌、小水、大市等乡（镇、街道）中规划的采矿用地及其他独立建设用地。调出原因主要有四类，一是现行规划安排布局的采矿用地及其他独立建设用地在规划期内没有建设意向，如三架牌街道北部的部分地块；二是地形地势因素的影响，坡度过大不宜建设的区域，如三架街道三桥村；三是产业结构调整，土地布局优化，调出部分</w:t>
      </w:r>
      <w:r>
        <w:t>采矿及其他独立建设用地</w:t>
      </w:r>
      <w:r>
        <w:rPr>
          <w:rFonts w:hint="eastAsia"/>
        </w:rPr>
        <w:t>，如大市循环经济产业园；四是为充分盘活全市建设用地指标，保障即将上马重点项目建设，故将其调出。</w:t>
      </w: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pStyle w:val="17"/>
      </w:pPr>
      <w:r>
        <w:t>表</w:t>
      </w:r>
      <w:r>
        <w:rPr>
          <w:rFonts w:hint="eastAsia"/>
        </w:rPr>
        <w:t xml:space="preserve">5-5  </w:t>
      </w:r>
      <w:r>
        <w:t>耒阳市采矿及其他独立建设用地布局调整情况表</w:t>
      </w:r>
    </w:p>
    <w:tbl>
      <w:tblPr>
        <w:tblStyle w:val="22"/>
        <w:tblW w:w="4617" w:type="pct"/>
        <w:jc w:val="center"/>
        <w:tblLayout w:type="autofit"/>
        <w:tblCellMar>
          <w:top w:w="0" w:type="dxa"/>
          <w:left w:w="108" w:type="dxa"/>
          <w:bottom w:w="0" w:type="dxa"/>
          <w:right w:w="108" w:type="dxa"/>
        </w:tblCellMar>
      </w:tblPr>
      <w:tblGrid>
        <w:gridCol w:w="1266"/>
        <w:gridCol w:w="1551"/>
        <w:gridCol w:w="1234"/>
        <w:gridCol w:w="1268"/>
        <w:gridCol w:w="1294"/>
        <w:gridCol w:w="1562"/>
        <w:gridCol w:w="1493"/>
      </w:tblGrid>
      <w:tr>
        <w:tblPrEx>
          <w:tblCellMar>
            <w:top w:w="0" w:type="dxa"/>
            <w:left w:w="108" w:type="dxa"/>
            <w:bottom w:w="0" w:type="dxa"/>
            <w:right w:w="108" w:type="dxa"/>
          </w:tblCellMar>
        </w:tblPrEx>
        <w:trPr>
          <w:trHeight w:val="622" w:hRule="atLeast"/>
          <w:jc w:val="center"/>
        </w:trPr>
        <w:tc>
          <w:tcPr>
            <w:tcW w:w="655"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行政区划</w:t>
            </w:r>
          </w:p>
        </w:tc>
        <w:tc>
          <w:tcPr>
            <w:tcW w:w="802"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 xml:space="preserve">修改前规模 </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638"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调入规模</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656"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调出规模</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669" w:type="pct"/>
            <w:tcBorders>
              <w:top w:val="single" w:color="auto" w:sz="4" w:space="0"/>
              <w:left w:val="nil"/>
              <w:bottom w:val="single" w:color="auto" w:sz="4" w:space="0"/>
              <w:right w:val="single" w:color="auto" w:sz="4" w:space="0"/>
            </w:tcBorders>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置换</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808" w:type="pct"/>
            <w:tcBorders>
              <w:top w:val="single" w:color="auto" w:sz="8" w:space="0"/>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修改后规模</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772" w:type="pct"/>
            <w:tcBorders>
              <w:top w:val="single" w:color="auto" w:sz="8" w:space="0"/>
              <w:left w:val="nil"/>
              <w:bottom w:val="single" w:color="auto" w:sz="4" w:space="0"/>
              <w:right w:val="nil"/>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变化量</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耒阳市</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2657.90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363.61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768.95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-742.13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1510.43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-1147.47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蔡子池街道</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0.19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-0.19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-0.19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灶市街道</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193.01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1.14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50.43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-107.29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36.43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-156.58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水东江街道</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155.18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177.64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33.75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-5.77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293.30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138.12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五里牌街道</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99.14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0.51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43.20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-55.62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0.83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-98.31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三架街道</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894.54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41.60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347.97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-536.47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51.70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-842.84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余庆街道</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132.72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0.91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68.45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-36.79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28.39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-104.33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新市镇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49.41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49.42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遥田镇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36.09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36.09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夏塘镇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8.72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8.72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南京镇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22.79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22.78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公平圩镇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54.69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1.02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7.17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48.54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-6.15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黄市镇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117.33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1.36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8.56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110.13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-7.20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小水镇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199.52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0.62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69.84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130.30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-69.22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哲桥镇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149.10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25.81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123.29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-25.81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三都镇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104.79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0.02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104.77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-0.02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永济镇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6.13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6.12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龙塘镇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32.20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0.48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31.72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-0.48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大市镇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173.12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137.99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72.50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238.61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65.49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淝田镇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5.01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5.01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南阳镇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color w:val="000000"/>
                <w:kern w:val="0"/>
                <w:sz w:val="21"/>
                <w:szCs w:val="21"/>
              </w:rPr>
              <w:t xml:space="preserve">45.46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45.47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仁义镇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45.42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0.17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31.27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14.32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-31.10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导子镇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26.57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0.07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1.99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24.65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-1.92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马水镇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24.77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24.78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东湖圩镇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17.52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17.52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大义镇</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22.28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22.28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大和圩乡</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19.94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5.21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14.73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-5.21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坛下乡</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2.93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2.93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长坪乡</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8.42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8.43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r>
      <w:tr>
        <w:tblPrEx>
          <w:tblCellMar>
            <w:top w:w="0" w:type="dxa"/>
            <w:left w:w="108" w:type="dxa"/>
            <w:bottom w:w="0" w:type="dxa"/>
            <w:right w:w="108" w:type="dxa"/>
          </w:tblCellMar>
        </w:tblPrEx>
        <w:trPr>
          <w:trHeight w:val="354" w:hRule="atLeast"/>
          <w:jc w:val="center"/>
        </w:trPr>
        <w:tc>
          <w:tcPr>
            <w:tcW w:w="655"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太平圩乡</w:t>
            </w:r>
          </w:p>
        </w:tc>
        <w:tc>
          <w:tcPr>
            <w:tcW w:w="80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2.37 </w:t>
            </w:r>
          </w:p>
        </w:tc>
        <w:tc>
          <w:tcPr>
            <w:tcW w:w="6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0.01 </w:t>
            </w:r>
          </w:p>
        </w:tc>
        <w:tc>
          <w:tcPr>
            <w:tcW w:w="65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0.34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2.04 </w:t>
            </w:r>
          </w:p>
        </w:tc>
        <w:tc>
          <w:tcPr>
            <w:tcW w:w="772"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-0.33 </w:t>
            </w:r>
          </w:p>
        </w:tc>
      </w:tr>
      <w:tr>
        <w:tblPrEx>
          <w:tblCellMar>
            <w:top w:w="0" w:type="dxa"/>
            <w:left w:w="108" w:type="dxa"/>
            <w:bottom w:w="0" w:type="dxa"/>
            <w:right w:w="108" w:type="dxa"/>
          </w:tblCellMar>
        </w:tblPrEx>
        <w:trPr>
          <w:trHeight w:val="372" w:hRule="atLeast"/>
          <w:jc w:val="center"/>
        </w:trPr>
        <w:tc>
          <w:tcPr>
            <w:tcW w:w="655"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亮源乡</w:t>
            </w:r>
          </w:p>
        </w:tc>
        <w:tc>
          <w:tcPr>
            <w:tcW w:w="802"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8.54 </w:t>
            </w:r>
          </w:p>
        </w:tc>
        <w:tc>
          <w:tcPr>
            <w:tcW w:w="638"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0.53 </w:t>
            </w:r>
          </w:p>
        </w:tc>
        <w:tc>
          <w:tcPr>
            <w:tcW w:w="656"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1.94 </w:t>
            </w:r>
          </w:p>
        </w:tc>
        <w:tc>
          <w:tcPr>
            <w:tcW w:w="669" w:type="pct"/>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single" w:color="auto" w:sz="4" w:space="0"/>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7.13 </w:t>
            </w:r>
          </w:p>
        </w:tc>
        <w:tc>
          <w:tcPr>
            <w:tcW w:w="772" w:type="pct"/>
            <w:tcBorders>
              <w:top w:val="nil"/>
              <w:left w:val="nil"/>
              <w:bottom w:val="single" w:color="auto" w:sz="8"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-1.41 </w:t>
            </w:r>
          </w:p>
        </w:tc>
      </w:tr>
    </w:tbl>
    <w:p>
      <w:pPr>
        <w:pStyle w:val="4"/>
        <w:ind w:firstLine="562"/>
      </w:pPr>
      <w:r>
        <w:rPr>
          <w:rFonts w:hint="eastAsia"/>
        </w:rPr>
        <w:t>3、</w:t>
      </w:r>
      <w:r>
        <w:t>农村居民点用地布局调整</w:t>
      </w:r>
    </w:p>
    <w:p>
      <w:pPr>
        <w:spacing w:line="560" w:lineRule="exact"/>
        <w:ind w:firstLine="560"/>
        <w:rPr>
          <w:rFonts w:cs="Times New Roman"/>
          <w:szCs w:val="28"/>
        </w:rPr>
      </w:pPr>
      <w:r>
        <w:rPr>
          <w:rFonts w:hint="eastAsia" w:cs="Times New Roman"/>
          <w:szCs w:val="28"/>
        </w:rPr>
        <w:t>本次</w:t>
      </w:r>
      <w:r>
        <w:rPr>
          <w:rFonts w:cs="Times New Roman"/>
          <w:szCs w:val="28"/>
        </w:rPr>
        <w:t>规划修改，调入农村居民点用地</w:t>
      </w:r>
      <w:r>
        <w:rPr>
          <w:rFonts w:hint="eastAsia" w:cs="Times New Roman"/>
          <w:szCs w:val="28"/>
        </w:rPr>
        <w:t>786.15</w:t>
      </w:r>
      <w:r>
        <w:rPr>
          <w:rFonts w:cs="Times New Roman"/>
          <w:szCs w:val="28"/>
        </w:rPr>
        <w:t>公顷</w:t>
      </w:r>
      <w:r>
        <w:rPr>
          <w:rFonts w:hint="eastAsia" w:cs="Times New Roman"/>
          <w:szCs w:val="28"/>
        </w:rPr>
        <w:t>，</w:t>
      </w:r>
      <w:r>
        <w:rPr>
          <w:rFonts w:cs="Times New Roman"/>
          <w:szCs w:val="28"/>
        </w:rPr>
        <w:t>调出农村居民点用地</w:t>
      </w:r>
      <w:r>
        <w:rPr>
          <w:rFonts w:hint="eastAsia" w:cs="Times New Roman"/>
          <w:szCs w:val="28"/>
        </w:rPr>
        <w:t>806.12</w:t>
      </w:r>
      <w:r>
        <w:rPr>
          <w:rFonts w:cs="Times New Roman"/>
          <w:szCs w:val="28"/>
        </w:rPr>
        <w:t>公顷</w:t>
      </w:r>
      <w:r>
        <w:rPr>
          <w:rFonts w:hint="eastAsia" w:cs="Times New Roman"/>
          <w:szCs w:val="28"/>
        </w:rPr>
        <w:t>。</w:t>
      </w:r>
      <w:r>
        <w:rPr>
          <w:rFonts w:cs="Times New Roman"/>
          <w:szCs w:val="28"/>
        </w:rPr>
        <w:t>规划修改后，到2020年</w:t>
      </w:r>
      <w:r>
        <w:rPr>
          <w:rFonts w:hint="eastAsia" w:cs="Times New Roman"/>
          <w:szCs w:val="28"/>
        </w:rPr>
        <w:t>，耒阳市农村居民点</w:t>
      </w:r>
      <w:r>
        <w:rPr>
          <w:rFonts w:cs="Times New Roman"/>
          <w:szCs w:val="28"/>
        </w:rPr>
        <w:t>用地规模控制在</w:t>
      </w:r>
      <w:r>
        <w:rPr>
          <w:rFonts w:hint="eastAsia" w:cs="Times New Roman"/>
          <w:szCs w:val="28"/>
        </w:rPr>
        <w:t>11872.71</w:t>
      </w:r>
      <w:r>
        <w:rPr>
          <w:rFonts w:cs="Times New Roman"/>
          <w:szCs w:val="28"/>
        </w:rPr>
        <w:t>公顷以内，较修改前减少</w:t>
      </w:r>
      <w:r>
        <w:rPr>
          <w:rFonts w:hint="eastAsia" w:cs="Times New Roman"/>
          <w:szCs w:val="28"/>
        </w:rPr>
        <w:t>19.97</w:t>
      </w:r>
      <w:r>
        <w:rPr>
          <w:rFonts w:cs="Times New Roman"/>
          <w:szCs w:val="28"/>
        </w:rPr>
        <w:t>公顷（表</w:t>
      </w:r>
      <w:r>
        <w:rPr>
          <w:rFonts w:hint="eastAsia" w:cs="Times New Roman"/>
          <w:szCs w:val="28"/>
        </w:rPr>
        <w:t>5-6</w:t>
      </w:r>
      <w:r>
        <w:rPr>
          <w:rFonts w:cs="Times New Roman"/>
          <w:szCs w:val="28"/>
        </w:rPr>
        <w:t>）</w:t>
      </w:r>
      <w:r>
        <w:rPr>
          <w:rFonts w:hint="eastAsia" w:cs="Times New Roman"/>
          <w:szCs w:val="28"/>
        </w:rPr>
        <w:t>。</w:t>
      </w:r>
    </w:p>
    <w:p>
      <w:pPr>
        <w:ind w:firstLine="560"/>
      </w:pPr>
      <w:r>
        <w:rPr>
          <w:rFonts w:hint="eastAsia"/>
        </w:rPr>
        <w:t>农村居民点调入区域主要分布在灶市、三架、五里牌、水东江、余庆、哲桥镇（</w:t>
      </w:r>
      <w:r>
        <w:t>街道</w:t>
      </w:r>
      <w:r>
        <w:rPr>
          <w:rFonts w:hint="eastAsia"/>
        </w:rPr>
        <w:t>），主要</w:t>
      </w:r>
      <w:r>
        <w:t>因行政区划调整、生态红线划定等因素导致村镇发展方向改变，</w:t>
      </w:r>
      <w:r>
        <w:rPr>
          <w:rFonts w:hint="eastAsia"/>
        </w:rPr>
        <w:t>同时为了</w:t>
      </w:r>
      <w:r>
        <w:t>推进社会主义新农村建设，加快易地扶贫搬迁进度，完善村镇基础设施与公共设施建设</w:t>
      </w:r>
      <w:r>
        <w:rPr>
          <w:rFonts w:hint="eastAsia"/>
        </w:rPr>
        <w:t>。</w:t>
      </w:r>
    </w:p>
    <w:p>
      <w:pPr>
        <w:ind w:firstLine="560"/>
      </w:pPr>
      <w:r>
        <w:rPr>
          <w:rFonts w:hint="eastAsia"/>
        </w:rPr>
        <w:t>农村居民点调出区域主要分布在余庆、水东江、三架、五里牌、大市等乡镇（</w:t>
      </w:r>
      <w:r>
        <w:t>街道</w:t>
      </w:r>
      <w:r>
        <w:rPr>
          <w:rFonts w:hint="eastAsia"/>
        </w:rPr>
        <w:t>），其原因一是根据耒阳市新行政区划调整，将现行规划安排的农村居民点用地指标调出。二是根据湖南省国土资源厅对县级土地利用总体规划修改调整相关要求，将中心城区规模边界内农村居民点用地调出，调整为城镇用地。</w:t>
      </w:r>
    </w:p>
    <w:p>
      <w:pPr>
        <w:pStyle w:val="4"/>
        <w:ind w:firstLine="562"/>
      </w:pPr>
      <w:r>
        <w:rPr>
          <w:rFonts w:hint="eastAsia"/>
        </w:rPr>
        <w:t>二、</w:t>
      </w:r>
      <w:r>
        <w:t>交通水利用地布局调整</w:t>
      </w:r>
    </w:p>
    <w:p>
      <w:pPr>
        <w:ind w:firstLine="560"/>
      </w:pPr>
      <w:r>
        <w:t>本次规划修改，不涉及交通水利用地布局调整。但是，为保证“十三五”重点交通水利项目的用地需求，将重点交通水利项目纳入</w:t>
      </w:r>
      <w:r>
        <w:rPr>
          <w:rFonts w:hint="eastAsia"/>
        </w:rPr>
        <w:t>了规划</w:t>
      </w:r>
      <w:r>
        <w:t>重点建设项目用地表。规划修改后，到2020年，耒阳市交通水利用地规模控制在</w:t>
      </w:r>
      <w:r>
        <w:rPr>
          <w:rFonts w:hint="eastAsia"/>
        </w:rPr>
        <w:t>1900.94</w:t>
      </w:r>
      <w:r>
        <w:t>公顷以内，与规划修改前保持一致</w:t>
      </w:r>
      <w:r>
        <w:rPr>
          <w:rFonts w:hint="eastAsia"/>
        </w:rPr>
        <w:t>。</w:t>
      </w:r>
    </w:p>
    <w:p>
      <w:pPr>
        <w:pStyle w:val="4"/>
        <w:ind w:firstLine="562"/>
      </w:pPr>
      <w:r>
        <w:rPr>
          <w:rFonts w:hint="eastAsia"/>
        </w:rPr>
        <w:t>三、</w:t>
      </w:r>
      <w:r>
        <w:t>其他建设用地布局调整</w:t>
      </w:r>
    </w:p>
    <w:p>
      <w:pPr>
        <w:ind w:firstLine="560"/>
      </w:pPr>
      <w:r>
        <w:t>本次规划修改，</w:t>
      </w:r>
      <w:r>
        <w:rPr>
          <w:rFonts w:hint="eastAsia"/>
        </w:rPr>
        <w:t>为满足风景名胜设施用地、殡葬等特殊用地的需求，</w:t>
      </w:r>
      <w:r>
        <w:t>调入</w:t>
      </w:r>
      <w:r>
        <w:rPr>
          <w:rFonts w:hint="eastAsia"/>
        </w:rPr>
        <w:t>其他建设</w:t>
      </w:r>
      <w:r>
        <w:t>用地</w:t>
      </w:r>
      <w:r>
        <w:rPr>
          <w:rFonts w:hint="eastAsia"/>
        </w:rPr>
        <w:t>33.54</w:t>
      </w:r>
      <w:r>
        <w:t>公顷</w:t>
      </w:r>
      <w:r>
        <w:rPr>
          <w:rFonts w:hint="eastAsia"/>
        </w:rPr>
        <w:t>，主要在水东江街道和黄市镇。</w:t>
      </w:r>
      <w:r>
        <w:t>调</w:t>
      </w:r>
      <w:r>
        <w:rPr>
          <w:rFonts w:hint="eastAsia"/>
        </w:rPr>
        <w:t>出其他建设</w:t>
      </w:r>
      <w:r>
        <w:t>用地</w:t>
      </w:r>
      <w:r>
        <w:rPr>
          <w:rFonts w:hint="eastAsia"/>
        </w:rPr>
        <w:t>0.69</w:t>
      </w:r>
      <w:r>
        <w:t>公顷</w:t>
      </w:r>
      <w:r>
        <w:rPr>
          <w:rFonts w:hint="eastAsia"/>
        </w:rPr>
        <w:t>，主要在三架街道。</w:t>
      </w:r>
      <w:r>
        <w:t>规划修改后，</w:t>
      </w:r>
      <w:r>
        <w:rPr>
          <w:rFonts w:cs="Times New Roman"/>
          <w:szCs w:val="28"/>
        </w:rPr>
        <w:t>到2020年</w:t>
      </w:r>
      <w:r>
        <w:rPr>
          <w:rFonts w:hint="eastAsia" w:cs="Times New Roman"/>
          <w:szCs w:val="28"/>
        </w:rPr>
        <w:t>，耒阳市其他建设</w:t>
      </w:r>
      <w:r>
        <w:rPr>
          <w:rFonts w:cs="Times New Roman"/>
          <w:szCs w:val="28"/>
        </w:rPr>
        <w:t>用地规模控制在</w:t>
      </w:r>
      <w:r>
        <w:rPr>
          <w:rFonts w:hint="eastAsia" w:cs="Times New Roman"/>
          <w:szCs w:val="28"/>
        </w:rPr>
        <w:t>1580.49</w:t>
      </w:r>
      <w:r>
        <w:rPr>
          <w:rFonts w:cs="Times New Roman"/>
          <w:szCs w:val="28"/>
        </w:rPr>
        <w:t>公顷以内，</w:t>
      </w:r>
      <w:r>
        <w:t>较修改前</w:t>
      </w:r>
      <w:r>
        <w:rPr>
          <w:rFonts w:hint="eastAsia"/>
        </w:rPr>
        <w:t>增加32.85</w:t>
      </w:r>
      <w:r>
        <w:t>公顷（表</w:t>
      </w:r>
      <w:r>
        <w:rPr>
          <w:rFonts w:hint="eastAsia"/>
        </w:rPr>
        <w:t>5-7</w:t>
      </w:r>
      <w:r>
        <w:t>）</w:t>
      </w:r>
      <w:r>
        <w:rPr>
          <w:rFonts w:hint="eastAsia"/>
        </w:rPr>
        <w:t>。</w:t>
      </w:r>
    </w:p>
    <w:p>
      <w:pPr>
        <w:ind w:firstLine="560"/>
      </w:pPr>
    </w:p>
    <w:p>
      <w:pPr>
        <w:ind w:firstLine="0" w:firstLineChars="0"/>
      </w:pPr>
    </w:p>
    <w:p>
      <w:pPr>
        <w:pStyle w:val="17"/>
      </w:pPr>
      <w:r>
        <w:t>表</w:t>
      </w:r>
      <w:r>
        <w:rPr>
          <w:rFonts w:hint="eastAsia"/>
        </w:rPr>
        <w:t xml:space="preserve">5-6  </w:t>
      </w:r>
      <w:r>
        <w:t>耒阳市</w:t>
      </w:r>
      <w:r>
        <w:rPr>
          <w:rFonts w:hint="eastAsia"/>
        </w:rPr>
        <w:t>农村居民点</w:t>
      </w:r>
      <w:r>
        <w:t>用地布局调整情况表</w:t>
      </w:r>
    </w:p>
    <w:tbl>
      <w:tblPr>
        <w:tblStyle w:val="22"/>
        <w:tblW w:w="4505" w:type="pct"/>
        <w:jc w:val="center"/>
        <w:tblLayout w:type="autofit"/>
        <w:tblCellMar>
          <w:top w:w="0" w:type="dxa"/>
          <w:left w:w="108" w:type="dxa"/>
          <w:bottom w:w="0" w:type="dxa"/>
          <w:right w:w="108" w:type="dxa"/>
        </w:tblCellMar>
      </w:tblPr>
      <w:tblGrid>
        <w:gridCol w:w="1543"/>
        <w:gridCol w:w="1721"/>
        <w:gridCol w:w="1524"/>
        <w:gridCol w:w="1524"/>
        <w:gridCol w:w="1560"/>
        <w:gridCol w:w="1561"/>
      </w:tblGrid>
      <w:tr>
        <w:tblPrEx>
          <w:tblCellMar>
            <w:top w:w="0" w:type="dxa"/>
            <w:left w:w="108" w:type="dxa"/>
            <w:bottom w:w="0" w:type="dxa"/>
            <w:right w:w="108" w:type="dxa"/>
          </w:tblCellMar>
        </w:tblPrEx>
        <w:trPr>
          <w:trHeight w:val="446" w:hRule="atLeast"/>
          <w:jc w:val="center"/>
        </w:trPr>
        <w:tc>
          <w:tcPr>
            <w:tcW w:w="818"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Chars="0"/>
              <w:rPr>
                <w:rFonts w:ascii="仿宋_GB2312" w:hAnsi="Tahoma" w:cs="Tahoma"/>
                <w:b/>
                <w:bCs/>
                <w:color w:val="000000"/>
                <w:kern w:val="0"/>
                <w:sz w:val="21"/>
                <w:szCs w:val="21"/>
              </w:rPr>
            </w:pPr>
            <w:r>
              <w:rPr>
                <w:rFonts w:hint="eastAsia" w:ascii="仿宋_GB2312" w:hAnsi="Tahoma" w:cs="Tahoma"/>
                <w:b/>
                <w:bCs/>
                <w:color w:val="000000"/>
                <w:kern w:val="0"/>
                <w:sz w:val="21"/>
                <w:szCs w:val="21"/>
              </w:rPr>
              <w:t>行政区划</w:t>
            </w:r>
          </w:p>
        </w:tc>
        <w:tc>
          <w:tcPr>
            <w:tcW w:w="912"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修改前规模</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808"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调入规模</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808"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调出规模</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827"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修改后规模</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c>
          <w:tcPr>
            <w:tcW w:w="827" w:type="pct"/>
            <w:tcBorders>
              <w:top w:val="single" w:color="auto" w:sz="8" w:space="0"/>
              <w:left w:val="nil"/>
              <w:bottom w:val="single" w:color="auto" w:sz="4" w:space="0"/>
              <w:right w:val="nil"/>
            </w:tcBorders>
            <w:shd w:val="clear" w:color="auto" w:fill="auto"/>
            <w:vAlign w:val="center"/>
          </w:tcPr>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变化量</w:t>
            </w:r>
          </w:p>
          <w:p>
            <w:pPr>
              <w:widowControl/>
              <w:spacing w:line="24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（公顷）</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b/>
                <w:bCs/>
                <w:color w:val="000000"/>
                <w:kern w:val="0"/>
                <w:sz w:val="21"/>
                <w:szCs w:val="21"/>
              </w:rPr>
            </w:pPr>
            <w:r>
              <w:rPr>
                <w:rFonts w:hint="eastAsia" w:ascii="仿宋_GB2312" w:hAnsi="Tahoma" w:cs="Tahoma"/>
                <w:b/>
                <w:bCs/>
                <w:color w:val="000000"/>
                <w:kern w:val="0"/>
                <w:sz w:val="21"/>
                <w:szCs w:val="21"/>
              </w:rPr>
              <w:t>耒阳市</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bCs/>
                <w:color w:val="000000"/>
                <w:kern w:val="0"/>
                <w:sz w:val="21"/>
                <w:szCs w:val="21"/>
              </w:rPr>
            </w:pPr>
            <w:r>
              <w:rPr>
                <w:rFonts w:eastAsia="宋体" w:cs="Times New Roman"/>
                <w:b/>
                <w:bCs/>
                <w:color w:val="000000"/>
                <w:kern w:val="0"/>
                <w:sz w:val="21"/>
                <w:szCs w:val="21"/>
              </w:rPr>
              <w:t xml:space="preserve">11892.68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786.15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806.12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11872.71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-19.97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蔡子池街道</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灶市街道</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348.36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280.20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14.11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614.45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266.09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水东江街道</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569.78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71.70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81.29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560.19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-9.59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五里牌街道</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163.33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76.56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75.79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164.10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0.77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三架街道</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218.08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89.54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73.90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233.72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15.64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余庆街道</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818.62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62.03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257.77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622.88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-195.74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新市镇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474.32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6.13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16.38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464.07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-10.25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遥田镇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331.99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3.34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9.10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326.23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-5.76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夏塘镇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330.04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0.93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330.97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0.93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南京镇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246.78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10.72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4.78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252.72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5.94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公平圩镇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483.43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1.58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6.35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478.66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-4.77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黄市镇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326.71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27.23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9.98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343.96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17.25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小水镇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596.65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11.28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9.52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598.41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1.76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哲桥镇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499.16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11.18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5.08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505.26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6.10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三都镇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435.93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6.80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15.82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426.91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-9.02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永济镇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463.75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12.99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18.88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457.86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-5.89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龙塘镇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279.26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3.16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8.38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274.04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-5.22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大市镇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740.70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17.47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21.69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736.48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-4.22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淝田镇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286.25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5.93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9.28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282.90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-3.35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南阳镇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421.90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7.52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17.63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411.79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-10.11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仁义镇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407.97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6.24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7.97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406.24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-1.73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导子镇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427.73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8.60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15.94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420.39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-7.34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马水镇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818.63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8.81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33.02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794.42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-24.21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东湖圩镇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508.52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6.88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8.83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506.57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-1.95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大义镇</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374.28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8.42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17.85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364.85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-9.43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大和圩乡</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354.44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5.48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8.72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351.20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-3.24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坛下乡</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220.90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9.03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19.12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210.81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-10.09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长坪乡</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273.24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13.88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20.43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266.69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-6.55 </w:t>
            </w:r>
          </w:p>
        </w:tc>
      </w:tr>
      <w:tr>
        <w:tblPrEx>
          <w:tblCellMar>
            <w:top w:w="0" w:type="dxa"/>
            <w:left w:w="108" w:type="dxa"/>
            <w:bottom w:w="0" w:type="dxa"/>
            <w:right w:w="108" w:type="dxa"/>
          </w:tblCellMar>
        </w:tblPrEx>
        <w:trPr>
          <w:trHeight w:val="285" w:hRule="atLeast"/>
          <w:jc w:val="center"/>
        </w:trPr>
        <w:tc>
          <w:tcPr>
            <w:tcW w:w="81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太平圩乡</w:t>
            </w:r>
          </w:p>
        </w:tc>
        <w:tc>
          <w:tcPr>
            <w:tcW w:w="912"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161.19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4.09 </w:t>
            </w:r>
          </w:p>
        </w:tc>
        <w:tc>
          <w:tcPr>
            <w:tcW w:w="80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9.87 </w:t>
            </w:r>
          </w:p>
        </w:tc>
        <w:tc>
          <w:tcPr>
            <w:tcW w:w="827"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155.41 </w:t>
            </w:r>
          </w:p>
        </w:tc>
        <w:tc>
          <w:tcPr>
            <w:tcW w:w="827"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-5.78 </w:t>
            </w:r>
          </w:p>
        </w:tc>
      </w:tr>
      <w:tr>
        <w:tblPrEx>
          <w:tblCellMar>
            <w:top w:w="0" w:type="dxa"/>
            <w:left w:w="108" w:type="dxa"/>
            <w:bottom w:w="0" w:type="dxa"/>
            <w:right w:w="108" w:type="dxa"/>
          </w:tblCellMar>
        </w:tblPrEx>
        <w:trPr>
          <w:trHeight w:val="300" w:hRule="atLeast"/>
          <w:jc w:val="center"/>
        </w:trPr>
        <w:tc>
          <w:tcPr>
            <w:tcW w:w="818"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ascii="仿宋_GB2312" w:hAnsi="Tahoma" w:cs="Tahoma"/>
                <w:color w:val="000000"/>
                <w:kern w:val="0"/>
                <w:sz w:val="21"/>
                <w:szCs w:val="21"/>
              </w:rPr>
            </w:pPr>
            <w:r>
              <w:rPr>
                <w:rFonts w:hint="eastAsia" w:ascii="仿宋_GB2312" w:hAnsi="Tahoma" w:cs="Tahoma"/>
                <w:color w:val="000000"/>
                <w:kern w:val="0"/>
                <w:sz w:val="21"/>
                <w:szCs w:val="21"/>
              </w:rPr>
              <w:t>亮源乡</w:t>
            </w:r>
          </w:p>
        </w:tc>
        <w:tc>
          <w:tcPr>
            <w:tcW w:w="912"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310.74 </w:t>
            </w:r>
          </w:p>
        </w:tc>
        <w:tc>
          <w:tcPr>
            <w:tcW w:w="808"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8.43 </w:t>
            </w:r>
          </w:p>
        </w:tc>
        <w:tc>
          <w:tcPr>
            <w:tcW w:w="808"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8.64 </w:t>
            </w:r>
          </w:p>
        </w:tc>
        <w:tc>
          <w:tcPr>
            <w:tcW w:w="827"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310.53 </w:t>
            </w:r>
          </w:p>
        </w:tc>
        <w:tc>
          <w:tcPr>
            <w:tcW w:w="827" w:type="pct"/>
            <w:tcBorders>
              <w:top w:val="nil"/>
              <w:left w:val="nil"/>
              <w:bottom w:val="single" w:color="auto" w:sz="8"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-0.21 </w:t>
            </w:r>
          </w:p>
        </w:tc>
      </w:tr>
    </w:tbl>
    <w:p>
      <w:pPr>
        <w:ind w:firstLine="560"/>
      </w:pPr>
    </w:p>
    <w:p>
      <w:pPr>
        <w:pStyle w:val="17"/>
      </w:pPr>
      <w:r>
        <w:t>表</w:t>
      </w:r>
      <w:r>
        <w:rPr>
          <w:rFonts w:hint="eastAsia"/>
        </w:rPr>
        <w:t xml:space="preserve">5-7  </w:t>
      </w:r>
      <w:r>
        <w:t>耒阳市</w:t>
      </w:r>
      <w:r>
        <w:rPr>
          <w:rFonts w:hint="eastAsia"/>
        </w:rPr>
        <w:t>其他建设</w:t>
      </w:r>
      <w:r>
        <w:t>用地布局调整情况表</w:t>
      </w:r>
    </w:p>
    <w:tbl>
      <w:tblPr>
        <w:tblStyle w:val="22"/>
        <w:tblW w:w="4489" w:type="pct"/>
        <w:jc w:val="center"/>
        <w:tblLayout w:type="autofit"/>
        <w:tblCellMar>
          <w:top w:w="0" w:type="dxa"/>
          <w:left w:w="108" w:type="dxa"/>
          <w:bottom w:w="0" w:type="dxa"/>
          <w:right w:w="108" w:type="dxa"/>
        </w:tblCellMar>
      </w:tblPr>
      <w:tblGrid>
        <w:gridCol w:w="1763"/>
        <w:gridCol w:w="1685"/>
        <w:gridCol w:w="1484"/>
        <w:gridCol w:w="1418"/>
        <w:gridCol w:w="1632"/>
        <w:gridCol w:w="1418"/>
      </w:tblGrid>
      <w:tr>
        <w:tblPrEx>
          <w:tblCellMar>
            <w:top w:w="0" w:type="dxa"/>
            <w:left w:w="108" w:type="dxa"/>
            <w:bottom w:w="0" w:type="dxa"/>
            <w:right w:w="108" w:type="dxa"/>
          </w:tblCellMar>
        </w:tblPrEx>
        <w:trPr>
          <w:trHeight w:val="588" w:hRule="atLeast"/>
          <w:jc w:val="center"/>
        </w:trPr>
        <w:tc>
          <w:tcPr>
            <w:tcW w:w="938"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422"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行政区划</w:t>
            </w:r>
          </w:p>
        </w:tc>
        <w:tc>
          <w:tcPr>
            <w:tcW w:w="896"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修改前规模</w:t>
            </w:r>
          </w:p>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（公顷）</w:t>
            </w:r>
          </w:p>
        </w:tc>
        <w:tc>
          <w:tcPr>
            <w:tcW w:w="789"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调入规模</w:t>
            </w:r>
          </w:p>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（公顷）</w:t>
            </w:r>
          </w:p>
        </w:tc>
        <w:tc>
          <w:tcPr>
            <w:tcW w:w="754"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调出规模</w:t>
            </w:r>
          </w:p>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（公顷）</w:t>
            </w:r>
          </w:p>
        </w:tc>
        <w:tc>
          <w:tcPr>
            <w:tcW w:w="868" w:type="pct"/>
            <w:tcBorders>
              <w:top w:val="single" w:color="auto" w:sz="8"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修改后规模</w:t>
            </w:r>
          </w:p>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（公顷）</w:t>
            </w:r>
          </w:p>
        </w:tc>
        <w:tc>
          <w:tcPr>
            <w:tcW w:w="754" w:type="pct"/>
            <w:tcBorders>
              <w:top w:val="single" w:color="auto" w:sz="8" w:space="0"/>
              <w:left w:val="nil"/>
              <w:bottom w:val="single" w:color="auto" w:sz="4" w:space="0"/>
              <w:right w:val="nil"/>
            </w:tcBorders>
            <w:shd w:val="clear" w:color="auto" w:fill="auto"/>
            <w:vAlign w:val="center"/>
          </w:tcPr>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变化量</w:t>
            </w:r>
          </w:p>
          <w:p>
            <w:pPr>
              <w:widowControl/>
              <w:spacing w:line="24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（公顷）</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耒阳市</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1547.64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33.54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0.69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1580.49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b/>
                <w:color w:val="000000"/>
                <w:kern w:val="0"/>
                <w:sz w:val="21"/>
                <w:szCs w:val="21"/>
              </w:rPr>
            </w:pPr>
            <w:r>
              <w:rPr>
                <w:rFonts w:eastAsia="宋体" w:cs="Times New Roman"/>
                <w:b/>
                <w:color w:val="000000"/>
                <w:kern w:val="0"/>
                <w:sz w:val="21"/>
                <w:szCs w:val="21"/>
              </w:rPr>
              <w:t xml:space="preserve">32.85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蔡子池街道</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0.00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85"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灶市街道</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176.30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176.30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水东江街道</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54.35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33.41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87.76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33.41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五里牌街道</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8.29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8.29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三架街道</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14.37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0.42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13.95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-0.42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余庆街道</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73.04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0.25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72.79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-0.25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新市镇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8.68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8.68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遥田镇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465.05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0.02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465.03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-0.02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夏塘镇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30.11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30.11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南京镇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34.81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34.81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公平圩镇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31.86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31.86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黄市镇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22.46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0.13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22.59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0.13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小水镇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97.36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97.36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哲桥镇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32.88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32.88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三都镇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95.91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95.91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永济镇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76.22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76.22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龙塘镇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27.19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27.19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大市镇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10.15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10.15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淝田镇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23.23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23.23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南阳镇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21.22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21.22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仁义镇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5.35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5.35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导子镇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30.00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30.00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马水镇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6.76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6.76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东湖圩镇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39.57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39.57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大义镇</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32.22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32.22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大和圩乡</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49.61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49.61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坛下乡</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31.25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31.25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长坪乡</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17.93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17.93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70" w:hRule="atLeast"/>
          <w:jc w:val="center"/>
        </w:trPr>
        <w:tc>
          <w:tcPr>
            <w:tcW w:w="93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太平圩乡</w:t>
            </w:r>
          </w:p>
        </w:tc>
        <w:tc>
          <w:tcPr>
            <w:tcW w:w="896"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30.04 </w:t>
            </w:r>
          </w:p>
        </w:tc>
        <w:tc>
          <w:tcPr>
            <w:tcW w:w="789"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4"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30.04 </w:t>
            </w:r>
          </w:p>
        </w:tc>
        <w:tc>
          <w:tcPr>
            <w:tcW w:w="754" w:type="pct"/>
            <w:tcBorders>
              <w:top w:val="nil"/>
              <w:left w:val="nil"/>
              <w:bottom w:val="single" w:color="auto" w:sz="4"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r>
        <w:tblPrEx>
          <w:tblCellMar>
            <w:top w:w="0" w:type="dxa"/>
            <w:left w:w="108" w:type="dxa"/>
            <w:bottom w:w="0" w:type="dxa"/>
            <w:right w:w="108" w:type="dxa"/>
          </w:tblCellMar>
        </w:tblPrEx>
        <w:trPr>
          <w:trHeight w:val="285" w:hRule="atLeast"/>
          <w:jc w:val="center"/>
        </w:trPr>
        <w:tc>
          <w:tcPr>
            <w:tcW w:w="938"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亮源乡</w:t>
            </w:r>
          </w:p>
        </w:tc>
        <w:tc>
          <w:tcPr>
            <w:tcW w:w="896"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1.43 </w:t>
            </w:r>
          </w:p>
        </w:tc>
        <w:tc>
          <w:tcPr>
            <w:tcW w:w="789"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754"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c>
          <w:tcPr>
            <w:tcW w:w="868" w:type="pct"/>
            <w:tcBorders>
              <w:top w:val="nil"/>
              <w:left w:val="nil"/>
              <w:bottom w:val="single" w:color="auto" w:sz="8" w:space="0"/>
              <w:right w:val="single" w:color="auto" w:sz="4" w:space="0"/>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 xml:space="preserve">1.43 </w:t>
            </w:r>
          </w:p>
        </w:tc>
        <w:tc>
          <w:tcPr>
            <w:tcW w:w="754" w:type="pct"/>
            <w:tcBorders>
              <w:top w:val="nil"/>
              <w:left w:val="nil"/>
              <w:bottom w:val="single" w:color="auto" w:sz="8" w:space="0"/>
              <w:right w:val="nil"/>
            </w:tcBorders>
            <w:shd w:val="clear" w:color="auto" w:fill="auto"/>
            <w:noWrap/>
            <w:vAlign w:val="center"/>
          </w:tcPr>
          <w:p>
            <w:pPr>
              <w:widowControl/>
              <w:spacing w:line="360" w:lineRule="exact"/>
              <w:ind w:firstLine="0" w:firstLineChars="0"/>
              <w:jc w:val="center"/>
              <w:rPr>
                <w:rFonts w:eastAsia="宋体" w:cs="Times New Roman"/>
                <w:color w:val="000000"/>
                <w:kern w:val="0"/>
                <w:sz w:val="21"/>
                <w:szCs w:val="21"/>
              </w:rPr>
            </w:pPr>
            <w:r>
              <w:rPr>
                <w:rFonts w:eastAsia="宋体" w:cs="Times New Roman"/>
                <w:color w:val="000000"/>
                <w:kern w:val="0"/>
                <w:sz w:val="21"/>
                <w:szCs w:val="21"/>
              </w:rPr>
              <w:t xml:space="preserve">0.00 </w:t>
            </w:r>
          </w:p>
        </w:tc>
      </w:tr>
    </w:tbl>
    <w:p>
      <w:pPr>
        <w:pStyle w:val="2"/>
      </w:pPr>
      <w:bookmarkStart w:id="168" w:name="_Toc485040265"/>
      <w:r>
        <w:rPr>
          <w:rFonts w:hint="eastAsia"/>
        </w:rPr>
        <w:t>第六章  与相关工作的协调衔接</w:t>
      </w:r>
      <w:bookmarkEnd w:id="162"/>
      <w:bookmarkEnd w:id="168"/>
    </w:p>
    <w:p>
      <w:pPr>
        <w:pStyle w:val="3"/>
        <w:ind w:firstLine="602"/>
      </w:pPr>
      <w:bookmarkStart w:id="169" w:name="_Toc479943943"/>
      <w:bookmarkStart w:id="170" w:name="_Toc485040266"/>
      <w:r>
        <w:rPr>
          <w:rFonts w:hint="eastAsia"/>
          <w:kern w:val="0"/>
        </w:rPr>
        <w:t>第一节  与行政区划调整的衔接</w:t>
      </w:r>
      <w:bookmarkEnd w:id="169"/>
      <w:bookmarkEnd w:id="170"/>
    </w:p>
    <w:p>
      <w:pPr>
        <w:ind w:firstLine="560"/>
      </w:pPr>
      <w:r>
        <w:rPr>
          <w:rFonts w:hint="eastAsia"/>
        </w:rPr>
        <w:t>按照湖南</w:t>
      </w:r>
      <w:r>
        <w:rPr>
          <w:rFonts w:hint="eastAsia"/>
          <w:kern w:val="0"/>
        </w:rPr>
        <w:t>省民政厅（湘民行</w:t>
      </w:r>
      <w:r>
        <w:rPr>
          <w:rFonts w:hint="eastAsia"/>
        </w:rPr>
        <w:t>发〔</w:t>
      </w:r>
      <w:r>
        <w:t>2015</w:t>
      </w:r>
      <w:r>
        <w:rPr>
          <w:rFonts w:hint="eastAsia"/>
        </w:rPr>
        <w:t>〕31</w:t>
      </w:r>
      <w:r>
        <w:rPr>
          <w:rFonts w:hint="eastAsia"/>
          <w:kern w:val="0"/>
        </w:rPr>
        <w:t>号）对耒阳市乡镇行政区调整方案的批复，调整后耒阳市共减少7个乡级建制，</w:t>
      </w:r>
      <w:r>
        <w:t>现辖</w:t>
      </w:r>
      <w:r>
        <w:rPr>
          <w:rFonts w:hint="eastAsia"/>
        </w:rPr>
        <w:t>蔡子池、灶市、水东江、五里牌、三架、余庆6个街道；新市、遥田、夏塘、南阳、公平圩、黄市、小水、哲桥、三都、永济、龙塘、大市、淝田、南京、仁义、导子、马水、东湖圩、大义19个镇；大和圩、坛下、长坪、太平圩、亮源5个乡。</w:t>
      </w:r>
    </w:p>
    <w:p>
      <w:pPr>
        <w:ind w:firstLine="560"/>
        <w:rPr>
          <w:kern w:val="0"/>
        </w:rPr>
      </w:pPr>
      <w:r>
        <w:rPr>
          <w:rFonts w:hint="eastAsia"/>
          <w:kern w:val="0"/>
        </w:rPr>
        <w:t>根据耒阳市人民政府（耒政函</w:t>
      </w:r>
      <w:r>
        <w:rPr>
          <w:rFonts w:hint="eastAsia"/>
        </w:rPr>
        <w:t>〔</w:t>
      </w:r>
      <w:r>
        <w:t>201</w:t>
      </w:r>
      <w:r>
        <w:rPr>
          <w:rFonts w:hint="eastAsia"/>
        </w:rPr>
        <w:t>6〕6</w:t>
      </w:r>
      <w:r>
        <w:rPr>
          <w:rFonts w:hint="eastAsia"/>
          <w:kern w:val="0"/>
        </w:rPr>
        <w:t>号、7号、8号、9号、10号、11号、12号、13号、14号、15号、16号、17号、18号、19号、20号、21号、22号、23号、28号、29号、30号、31号、32号、33号、34号、35号、36号、37号）对各个乡镇建制村合并调整方案的批复，同意耒阳市各个乡镇建制村合并调整方案。</w:t>
      </w:r>
    </w:p>
    <w:p>
      <w:pPr>
        <w:ind w:firstLine="560"/>
        <w:rPr>
          <w:rFonts w:ascii="仿宋_GB2312" w:cs="仿宋_GB2312" w:hAnsiTheme="minorHAnsi"/>
          <w:kern w:val="0"/>
          <w:szCs w:val="28"/>
        </w:rPr>
      </w:pPr>
      <w:r>
        <w:rPr>
          <w:rFonts w:hint="eastAsia"/>
          <w:kern w:val="0"/>
        </w:rPr>
        <w:t>耒阳市新市镇等24个乡级土地利用总体规划（2006-2020年）2016年调整完善方案严格按照</w:t>
      </w:r>
      <w:r>
        <w:rPr>
          <w:rFonts w:hint="eastAsia" w:ascii="仿宋_GB2312" w:cs="仿宋_GB2312" w:hAnsiTheme="minorHAnsi"/>
          <w:kern w:val="0"/>
          <w:szCs w:val="28"/>
        </w:rPr>
        <w:t>最新的行政区划调整、建制村合并后的方案编制的。</w:t>
      </w:r>
    </w:p>
    <w:p>
      <w:pPr>
        <w:pStyle w:val="3"/>
        <w:ind w:firstLine="602"/>
      </w:pPr>
      <w:bookmarkStart w:id="171" w:name="_Toc479943944"/>
      <w:bookmarkStart w:id="172" w:name="_Toc485040267"/>
      <w:r>
        <w:t>第</w:t>
      </w:r>
      <w:r>
        <w:rPr>
          <w:rFonts w:hint="eastAsia"/>
        </w:rPr>
        <w:t>二</w:t>
      </w:r>
      <w:r>
        <w:t>节  与永久基本农田划定的衔接</w:t>
      </w:r>
      <w:bookmarkEnd w:id="171"/>
      <w:bookmarkEnd w:id="172"/>
    </w:p>
    <w:p>
      <w:pPr>
        <w:ind w:firstLine="560"/>
        <w:rPr>
          <w:rFonts w:cs="Times New Roman"/>
          <w:kern w:val="0"/>
        </w:rPr>
      </w:pPr>
      <w:r>
        <w:t>按照《国土资源部农业部关于进一步做好永久基本农田划定工作的通知》（国土资发〔2014〕128号）和《国土资源部农业部关于全面划定永久基本农田实施特殊保护的通知》（国土资规〔2016〕10号）中</w:t>
      </w:r>
      <w:r>
        <w:rPr>
          <w:rFonts w:hint="eastAsia"/>
        </w:rPr>
        <w:t>“</w:t>
      </w:r>
      <w:r>
        <w:t>规划调整完善和永久基本农田划定互为基础、互为条件，两项工作统一方案编制，同步完成</w:t>
      </w:r>
      <w:r>
        <w:rPr>
          <w:rFonts w:hint="eastAsia"/>
        </w:rPr>
        <w:t>”</w:t>
      </w:r>
      <w:r>
        <w:t>的文件精神，</w:t>
      </w:r>
      <w:r>
        <w:rPr>
          <w:rFonts w:cs="Times New Roman"/>
          <w:kern w:val="0"/>
        </w:rPr>
        <w:t>在</w:t>
      </w:r>
      <w:r>
        <w:rPr>
          <w:rFonts w:hint="eastAsia" w:cs="Times New Roman"/>
          <w:kern w:val="0"/>
        </w:rPr>
        <w:t>耒阳市</w:t>
      </w:r>
      <w:r>
        <w:rPr>
          <w:rFonts w:cs="Times New Roman"/>
          <w:kern w:val="0"/>
        </w:rPr>
        <w:t>乡镇规划</w:t>
      </w:r>
      <w:r>
        <w:rPr>
          <w:rFonts w:hint="eastAsia" w:cs="Times New Roman"/>
          <w:kern w:val="0"/>
        </w:rPr>
        <w:t>调整</w:t>
      </w:r>
      <w:r>
        <w:rPr>
          <w:rFonts w:cs="Times New Roman"/>
          <w:kern w:val="0"/>
        </w:rPr>
        <w:t>完善方案编制过程中，技术单位积极与相关单位对接永久基本农田划定方案，确保</w:t>
      </w:r>
      <w:r>
        <w:rPr>
          <w:rFonts w:hint="eastAsia" w:cs="Times New Roman"/>
          <w:kern w:val="0"/>
        </w:rPr>
        <w:t>各乡镇</w:t>
      </w:r>
      <w:r>
        <w:rPr>
          <w:rFonts w:cs="Times New Roman"/>
          <w:kern w:val="0"/>
        </w:rPr>
        <w:t>建设用地布局与基本农田布局的合理性、科学性、严肃性，使</w:t>
      </w:r>
      <w:r>
        <w:rPr>
          <w:rFonts w:hint="eastAsia" w:cs="Times New Roman"/>
          <w:kern w:val="0"/>
        </w:rPr>
        <w:t>各乡镇</w:t>
      </w:r>
      <w:r>
        <w:rPr>
          <w:rFonts w:cs="Times New Roman"/>
          <w:kern w:val="0"/>
        </w:rPr>
        <w:t>土地利用总体规划成果和永久基本农田划定成果保持一致。</w:t>
      </w:r>
      <w:r>
        <w:rPr>
          <w:rFonts w:cs="Times New Roman"/>
          <w:szCs w:val="28"/>
        </w:rPr>
        <w:t>本次规划调整完善严格落实了上级下达的</w:t>
      </w:r>
      <w:r>
        <w:rPr>
          <w:rFonts w:hint="eastAsia" w:cs="Times New Roman"/>
          <w:szCs w:val="28"/>
        </w:rPr>
        <w:t>53130.00</w:t>
      </w:r>
      <w:r>
        <w:rPr>
          <w:rFonts w:cs="Times New Roman"/>
          <w:szCs w:val="28"/>
        </w:rPr>
        <w:t>公顷基本农田保护目标。</w:t>
      </w:r>
      <w:r>
        <w:rPr>
          <w:rFonts w:hint="eastAsia" w:cs="Times New Roman"/>
          <w:szCs w:val="28"/>
        </w:rPr>
        <w:t>中心城区</w:t>
      </w:r>
      <w:r>
        <w:rPr>
          <w:rFonts w:cs="Times New Roman"/>
          <w:szCs w:val="28"/>
        </w:rPr>
        <w:t>城调入建设用地尽量避开了永久基本农田图斑和优质耕地，规划调整完善方案不会对城市周边永久基本农田的保护造成不良影响。</w:t>
      </w:r>
    </w:p>
    <w:p>
      <w:pPr>
        <w:pStyle w:val="3"/>
        <w:ind w:firstLine="602"/>
      </w:pPr>
      <w:bookmarkStart w:id="173" w:name="_Toc479943945"/>
      <w:bookmarkStart w:id="174" w:name="_Toc485040268"/>
      <w:bookmarkStart w:id="175" w:name="_Toc478318461"/>
      <w:r>
        <w:t>第三节  与“十三五”规划的协调</w:t>
      </w:r>
      <w:bookmarkEnd w:id="173"/>
      <w:bookmarkEnd w:id="174"/>
      <w:bookmarkEnd w:id="175"/>
    </w:p>
    <w:p>
      <w:pPr>
        <w:ind w:firstLine="560"/>
      </w:pPr>
      <w:r>
        <w:t>本次规划修改与《耒阳市国民经济与社会发展第十三个五年规划纲要》</w:t>
      </w:r>
      <w:r>
        <w:rPr>
          <w:rFonts w:hint="eastAsia"/>
        </w:rPr>
        <w:t>、</w:t>
      </w:r>
      <w:r>
        <w:t>各个乡镇国民经济与社会发展第十三个五年规划等都进行了充分的衔接，重点与林业“十三五”规划、交通“十三五”规划、水利“十三五”规划、环保“十三五”规划等进行了有效对接，较好地将各项用地指标在各部门、各行业之间进行了安排。</w:t>
      </w:r>
      <w:r>
        <w:rPr>
          <w:rFonts w:hint="eastAsia"/>
        </w:rPr>
        <w:t>各乡镇</w:t>
      </w:r>
      <w:r>
        <w:t>内规划期间拟实施的重点项目与“十三五”规划进行了充分衔接，确保十三五期间</w:t>
      </w:r>
      <w:r>
        <w:rPr>
          <w:rFonts w:hint="eastAsia"/>
        </w:rPr>
        <w:t>各乡镇重点建设</w:t>
      </w:r>
      <w:r>
        <w:t>项目的用地需求。</w:t>
      </w:r>
    </w:p>
    <w:p>
      <w:pPr>
        <w:pStyle w:val="3"/>
        <w:ind w:firstLine="602"/>
      </w:pPr>
      <w:bookmarkStart w:id="176" w:name="_Toc369769920"/>
      <w:bookmarkStart w:id="177" w:name="_Toc478318460"/>
      <w:bookmarkStart w:id="178" w:name="_Toc479943946"/>
      <w:bookmarkStart w:id="179" w:name="_Toc485040269"/>
      <w:r>
        <w:t>第</w:t>
      </w:r>
      <w:r>
        <w:rPr>
          <w:rFonts w:hint="eastAsia"/>
        </w:rPr>
        <w:t>四</w:t>
      </w:r>
      <w:r>
        <w:t>节  与</w:t>
      </w:r>
      <w:r>
        <w:rPr>
          <w:rFonts w:hint="eastAsia"/>
        </w:rPr>
        <w:t>耒阳市</w:t>
      </w:r>
      <w:r>
        <w:t>土地利用</w:t>
      </w:r>
      <w:r>
        <w:rPr>
          <w:rFonts w:hint="eastAsia"/>
        </w:rPr>
        <w:t>总体</w:t>
      </w:r>
      <w:r>
        <w:t>规划的衔接</w:t>
      </w:r>
      <w:bookmarkEnd w:id="176"/>
      <w:bookmarkEnd w:id="177"/>
      <w:bookmarkEnd w:id="178"/>
      <w:bookmarkEnd w:id="179"/>
    </w:p>
    <w:p>
      <w:pPr>
        <w:ind w:firstLine="560"/>
      </w:pPr>
      <w:r>
        <w:t>按照《土地管理法》规定：“下级土地利用总体规划应当依据上一级土地利用总体规划编制，建设用地总量不得超过上一级土地利用总体规划确定的控制指标，耕地保有量不得低于上一级土地利用总体规划确定的控制指标”。</w:t>
      </w:r>
    </w:p>
    <w:p>
      <w:pPr>
        <w:ind w:firstLine="560"/>
      </w:pPr>
      <w:r>
        <w:rPr>
          <w:rFonts w:hint="eastAsia"/>
          <w:kern w:val="0"/>
        </w:rPr>
        <w:t>《耒阳市新市镇等24个乡级土地利用总体规划（2006-2020年）2016年调整完善方案》编制过程中，</w:t>
      </w:r>
      <w:r>
        <w:t>结合本市实际情况，与《</w:t>
      </w:r>
      <w:r>
        <w:rPr>
          <w:rFonts w:hint="eastAsia"/>
        </w:rPr>
        <w:t>耒阳市</w:t>
      </w:r>
      <w:r>
        <w:t>土地利用总体规划（2006-2020年）》</w:t>
      </w:r>
      <w:r>
        <w:rPr>
          <w:rFonts w:hint="eastAsia"/>
        </w:rPr>
        <w:t>（2016年修订版）</w:t>
      </w:r>
      <w:r>
        <w:t>进行了充分衔接，严格落实了市级规划下达给各乡镇的规划控制指标</w:t>
      </w:r>
      <w:r>
        <w:rPr>
          <w:rFonts w:hint="eastAsia"/>
        </w:rPr>
        <w:t>。</w:t>
      </w:r>
      <w:r>
        <w:t>各乡镇的建设用地总规模、城乡建设用地规模、城镇工矿用地规模均在</w:t>
      </w:r>
      <w:r>
        <w:rPr>
          <w:rFonts w:hint="eastAsia"/>
        </w:rPr>
        <w:t>市</w:t>
      </w:r>
      <w:r>
        <w:t>级下达目标控制范围内</w:t>
      </w:r>
      <w:r>
        <w:rPr>
          <w:rFonts w:hint="eastAsia"/>
        </w:rPr>
        <w:t>，</w:t>
      </w:r>
      <w:r>
        <w:t>耕地保有量和基本农田保护目标严格落实湖南省土地利用总体规划调整完善各市（市、区）耕地保有量和基本农田保护目标方案目标。</w:t>
      </w:r>
    </w:p>
    <w:p>
      <w:pPr>
        <w:pStyle w:val="3"/>
        <w:ind w:firstLine="602"/>
      </w:pPr>
      <w:bookmarkStart w:id="180" w:name="_Toc464672599"/>
      <w:bookmarkStart w:id="181" w:name="_Toc464395219"/>
      <w:bookmarkStart w:id="182" w:name="_Toc478318462"/>
      <w:bookmarkStart w:id="183" w:name="_Toc485040270"/>
      <w:bookmarkStart w:id="184" w:name="_Toc479943947"/>
      <w:r>
        <w:t>第</w:t>
      </w:r>
      <w:r>
        <w:rPr>
          <w:rFonts w:hint="eastAsia"/>
        </w:rPr>
        <w:t>五</w:t>
      </w:r>
      <w:r>
        <w:t>节  与矿产资源规划的协调</w:t>
      </w:r>
      <w:bookmarkEnd w:id="180"/>
      <w:bookmarkEnd w:id="181"/>
      <w:bookmarkEnd w:id="182"/>
      <w:bookmarkEnd w:id="183"/>
      <w:bookmarkEnd w:id="184"/>
    </w:p>
    <w:p>
      <w:pPr>
        <w:ind w:firstLine="560"/>
      </w:pPr>
      <w:r>
        <w:t>根据《耒阳市矿产资源总体规划（2016-2020年）》，通过将本次调入地块与耒阳市矿产资源开发利用与保护规划图叠加，调入区域均未涉及采矿权。同时，本次规划修改将耒阳市已设采矿权的用地范围与基本农田数据库进行叠加，将已设或新设采矿权范围内的基本农田调整为一般农田。</w:t>
      </w:r>
      <w:bookmarkStart w:id="185" w:name="_Toc478318463"/>
      <w:bookmarkStart w:id="186" w:name="_Toc479943948"/>
      <w:bookmarkStart w:id="187" w:name="_Toc464395220"/>
      <w:bookmarkStart w:id="188" w:name="_Toc464672600"/>
    </w:p>
    <w:p>
      <w:pPr>
        <w:pStyle w:val="3"/>
        <w:ind w:firstLine="602"/>
      </w:pPr>
      <w:bookmarkStart w:id="189" w:name="_Toc485040271"/>
      <w:r>
        <w:t>第</w:t>
      </w:r>
      <w:r>
        <w:rPr>
          <w:rFonts w:hint="eastAsia"/>
        </w:rPr>
        <w:t>六</w:t>
      </w:r>
      <w:r>
        <w:t>节  与土地整治规划的协调</w:t>
      </w:r>
      <w:bookmarkEnd w:id="185"/>
      <w:bookmarkEnd w:id="186"/>
      <w:bookmarkEnd w:id="187"/>
      <w:bookmarkEnd w:id="188"/>
      <w:bookmarkEnd w:id="189"/>
    </w:p>
    <w:p>
      <w:pPr>
        <w:ind w:firstLine="560"/>
      </w:pPr>
      <w:bookmarkStart w:id="190" w:name="_Toc464395222"/>
      <w:bookmarkStart w:id="191" w:name="_Toc464672602"/>
      <w:bookmarkStart w:id="192" w:name="_Toc478318465"/>
      <w:r>
        <w:t>本次规划修改与《耒阳市土地整治规划（2011-2020年）》进行了充分的对接，安排了三处土地整治重点区域和两个万亩连片旱涝保收高标准基本农田示范片区，新增建设用地布局均避开了土地整治重点区域和高标准基本农田示范片区。</w:t>
      </w:r>
    </w:p>
    <w:p>
      <w:pPr>
        <w:pStyle w:val="3"/>
        <w:ind w:firstLine="602"/>
      </w:pPr>
      <w:bookmarkStart w:id="193" w:name="_Toc479943949"/>
      <w:bookmarkStart w:id="194" w:name="_Toc485040272"/>
      <w:r>
        <w:t>第七节  与工程地质及压覆矿产的衔接</w:t>
      </w:r>
      <w:bookmarkEnd w:id="190"/>
      <w:bookmarkEnd w:id="191"/>
      <w:bookmarkEnd w:id="192"/>
      <w:bookmarkEnd w:id="193"/>
      <w:bookmarkEnd w:id="194"/>
    </w:p>
    <w:p>
      <w:pPr>
        <w:pStyle w:val="4"/>
        <w:ind w:firstLine="562"/>
      </w:pPr>
      <w:r>
        <w:t>一、工程地质条件</w:t>
      </w:r>
    </w:p>
    <w:p>
      <w:pPr>
        <w:ind w:firstLine="560"/>
      </w:pPr>
      <w:r>
        <w:t>根据《湖南省耒阳市</w:t>
      </w:r>
      <w:r>
        <w:rPr>
          <w:rFonts w:hint="eastAsia"/>
        </w:rPr>
        <w:t>中心城区</w:t>
      </w:r>
      <w:r>
        <w:t>规划用地区地质灾害危险性评估报告》规划用地区评估范围内，现状地质灾害不发育。</w:t>
      </w:r>
    </w:p>
    <w:p>
      <w:pPr>
        <w:ind w:firstLine="560"/>
      </w:pPr>
      <w:r>
        <w:t>根据工程建设可能引发或加剧的地质灾害和可能遭受的地质灾害危险性预测评估：预测</w:t>
      </w:r>
      <w:r>
        <w:rPr>
          <w:rFonts w:hint="eastAsia"/>
        </w:rPr>
        <w:t>哲桥</w:t>
      </w:r>
      <w:r>
        <w:t>精密制造园生态居住区地块未来工程建设引发滑坡地质灾害的可能性中等，危害程度中等，危险性中等；</w:t>
      </w:r>
      <w:r>
        <w:rPr>
          <w:rFonts w:hint="eastAsia"/>
        </w:rPr>
        <w:t>武广</w:t>
      </w:r>
      <w:r>
        <w:t>新城片居住、办公、商贸区地块未来工程建设引发岩溶地面塌陷地质灾害的可能性中等，危害程度中等，危险性中等。预测</w:t>
      </w:r>
      <w:r>
        <w:rPr>
          <w:rFonts w:hint="eastAsia"/>
        </w:rPr>
        <w:t>耒阳市</w:t>
      </w:r>
      <w:r>
        <w:t>经济开发区园区、居住办公区块未来工程建设引发滑坡地质灾害的可能性中等，危险性中等。预测规划场地其他地区未来工程建设引发滑坡、地面塌陷、崩塌、泥石流、地面沉降、地裂缝等地质灾害的可能性小，危险性小。</w:t>
      </w:r>
    </w:p>
    <w:p>
      <w:pPr>
        <w:ind w:firstLine="560"/>
      </w:pPr>
      <w:r>
        <w:t>本次规划调整完善，耒阳市调入建设用地及有条件建设区增加区域与工程地质条件及建设适宜性进行了衔接，未涉及不宜建设区。</w:t>
      </w:r>
    </w:p>
    <w:p>
      <w:pPr>
        <w:pStyle w:val="4"/>
        <w:ind w:firstLine="562"/>
      </w:pPr>
      <w:r>
        <w:t>二、压覆矿情况</w:t>
      </w:r>
    </w:p>
    <w:p>
      <w:pPr>
        <w:ind w:firstLine="560"/>
      </w:pPr>
      <w:r>
        <w:t>根据《耒阳市中心城区新增规划建设用地压覆矿产资源调查报告》显示：第一，在耒阳市城新增规划建设用地范围内没有压覆重要矿产资源；第二，在建设用地范围内设置有一处探矿权和三处采矿权，矿种均为砖瓦用粘土。</w:t>
      </w:r>
    </w:p>
    <w:p>
      <w:pPr>
        <w:ind w:firstLine="560"/>
      </w:pPr>
      <w:r>
        <w:t>本次规划调整完善，耒阳市调入建设用地与</w:t>
      </w:r>
      <w:r>
        <w:rPr>
          <w:rFonts w:hint="eastAsia"/>
        </w:rPr>
        <w:t>市</w:t>
      </w:r>
      <w:r>
        <w:t>域矿产资源分布情况进行了衔接，不涉及压覆重要矿产。</w:t>
      </w:r>
      <w:bookmarkStart w:id="195" w:name="_Toc464672604"/>
      <w:bookmarkStart w:id="196" w:name="_Toc464395224"/>
      <w:bookmarkStart w:id="197" w:name="_Toc479943950"/>
      <w:bookmarkStart w:id="198" w:name="_Toc478318466"/>
    </w:p>
    <w:p>
      <w:pPr>
        <w:pStyle w:val="3"/>
        <w:ind w:firstLine="602"/>
        <w:rPr>
          <w:szCs w:val="36"/>
        </w:rPr>
      </w:pPr>
      <w:bookmarkStart w:id="199" w:name="_Toc464395223"/>
      <w:bookmarkStart w:id="200" w:name="_Toc469878064"/>
      <w:bookmarkStart w:id="201" w:name="_Toc469877229"/>
      <w:bookmarkStart w:id="202" w:name="_Toc464672603"/>
      <w:bookmarkStart w:id="203" w:name="_Toc477514102"/>
      <w:bookmarkStart w:id="204" w:name="_Toc485040273"/>
      <w:r>
        <w:rPr>
          <w:szCs w:val="36"/>
        </w:rPr>
        <w:t>第</w:t>
      </w:r>
      <w:r>
        <w:rPr>
          <w:rFonts w:hint="eastAsia"/>
          <w:szCs w:val="36"/>
        </w:rPr>
        <w:t>八</w:t>
      </w:r>
      <w:r>
        <w:rPr>
          <w:szCs w:val="36"/>
        </w:rPr>
        <w:t>节</w:t>
      </w:r>
      <w:r>
        <w:rPr>
          <w:rFonts w:hint="eastAsia"/>
          <w:szCs w:val="36"/>
        </w:rPr>
        <w:t xml:space="preserve">  </w:t>
      </w:r>
      <w:r>
        <w:rPr>
          <w:szCs w:val="36"/>
        </w:rPr>
        <w:t>与其他规划的协调</w:t>
      </w:r>
      <w:bookmarkEnd w:id="199"/>
      <w:bookmarkEnd w:id="200"/>
      <w:bookmarkEnd w:id="201"/>
      <w:bookmarkEnd w:id="202"/>
      <w:bookmarkEnd w:id="203"/>
      <w:bookmarkEnd w:id="204"/>
    </w:p>
    <w:p>
      <w:pPr>
        <w:ind w:firstLine="560"/>
      </w:pPr>
      <w:r>
        <w:t>为贯彻“</w:t>
      </w:r>
      <w:r>
        <w:rPr>
          <w:rFonts w:hint="eastAsia"/>
        </w:rPr>
        <w:t>湘南</w:t>
      </w:r>
      <w:r>
        <w:t>地区次中心</w:t>
      </w:r>
      <w:r>
        <w:rPr>
          <w:rFonts w:hint="eastAsia"/>
        </w:rPr>
        <w:t>、</w:t>
      </w:r>
      <w:r>
        <w:t>产业</w:t>
      </w:r>
      <w:r>
        <w:rPr>
          <w:rFonts w:hint="eastAsia"/>
        </w:rPr>
        <w:t>转型</w:t>
      </w:r>
      <w:r>
        <w:t>创新基地</w:t>
      </w:r>
      <w:r>
        <w:rPr>
          <w:rFonts w:hint="eastAsia"/>
        </w:rPr>
        <w:t>、</w:t>
      </w:r>
      <w:r>
        <w:t>山水人文历史名城”发展战略，落实“一城</w:t>
      </w:r>
      <w:r>
        <w:rPr>
          <w:rFonts w:hint="eastAsia"/>
        </w:rPr>
        <w:t>三片</w:t>
      </w:r>
      <w:r>
        <w:t>”空间布局。本次规划修改与</w:t>
      </w:r>
      <w:r>
        <w:rPr>
          <w:rFonts w:hint="eastAsia"/>
        </w:rPr>
        <w:t>《耒阳市“十三五”林业发展规划》、</w:t>
      </w:r>
      <w:r>
        <w:t>《湖南耒阳市</w:t>
      </w:r>
      <w:r>
        <w:rPr>
          <w:rFonts w:hint="eastAsia"/>
        </w:rPr>
        <w:t>武广</w:t>
      </w:r>
      <w:r>
        <w:t>新城控制性详细规划》</w:t>
      </w:r>
      <w:r>
        <w:rPr>
          <w:rFonts w:hint="eastAsia"/>
        </w:rPr>
        <w:t>、</w:t>
      </w:r>
      <w:r>
        <w:t>《耒阳市</w:t>
      </w:r>
      <w:r>
        <w:rPr>
          <w:rFonts w:hint="eastAsia"/>
        </w:rPr>
        <w:t>经济</w:t>
      </w:r>
      <w:r>
        <w:t>开发区控制性详细规划》</w:t>
      </w:r>
      <w:r>
        <w:rPr>
          <w:rFonts w:hint="eastAsia"/>
        </w:rPr>
        <w:t>、</w:t>
      </w:r>
      <w:r>
        <w:t>《耒阳市</w:t>
      </w:r>
      <w:r>
        <w:rPr>
          <w:rFonts w:hint="eastAsia"/>
        </w:rPr>
        <w:t>鹿岐峰</w:t>
      </w:r>
      <w:r>
        <w:t>新城控制性详细规划》</w:t>
      </w:r>
      <w:r>
        <w:rPr>
          <w:rFonts w:hint="eastAsia"/>
        </w:rPr>
        <w:t>、</w:t>
      </w:r>
      <w:r>
        <w:t>《耒阳市</w:t>
      </w:r>
      <w:r>
        <w:rPr>
          <w:rFonts w:hint="eastAsia"/>
        </w:rPr>
        <w:t>欧阳</w:t>
      </w:r>
      <w:r>
        <w:t>海新城地区控制性规划》等控制性详细规划进行了充分的对接。</w:t>
      </w:r>
    </w:p>
    <w:p>
      <w:pPr>
        <w:pStyle w:val="3"/>
        <w:ind w:firstLine="602"/>
      </w:pPr>
      <w:bookmarkStart w:id="205" w:name="_Toc485040274"/>
      <w:r>
        <w:t>第</w:t>
      </w:r>
      <w:r>
        <w:rPr>
          <w:rFonts w:hint="eastAsia"/>
        </w:rPr>
        <w:t>九</w:t>
      </w:r>
      <w:r>
        <w:t xml:space="preserve">节  </w:t>
      </w:r>
      <w:r>
        <w:rPr>
          <w:rFonts w:hint="eastAsia"/>
        </w:rPr>
        <w:t>与易地扶贫搬迁项目的衔接</w:t>
      </w:r>
      <w:bookmarkEnd w:id="205"/>
    </w:p>
    <w:p>
      <w:pPr>
        <w:ind w:firstLine="560"/>
      </w:pPr>
      <w:r>
        <w:t>按照《</w:t>
      </w:r>
      <w:r>
        <w:rPr>
          <w:rFonts w:hint="eastAsia"/>
        </w:rPr>
        <w:t>国家发展改革委关于印发全国“十三五”易地扶贫搬迁规划的通知</w:t>
      </w:r>
      <w:r>
        <w:t>》（发</w:t>
      </w:r>
      <w:r>
        <w:rPr>
          <w:rFonts w:hint="eastAsia"/>
        </w:rPr>
        <w:t>改地区</w:t>
      </w:r>
      <w:r>
        <w:t>〔201</w:t>
      </w:r>
      <w:r>
        <w:rPr>
          <w:rFonts w:hint="eastAsia"/>
        </w:rPr>
        <w:t>6</w:t>
      </w:r>
      <w:r>
        <w:t>〕</w:t>
      </w:r>
      <w:r>
        <w:rPr>
          <w:rFonts w:hint="eastAsia"/>
        </w:rPr>
        <w:t>2022</w:t>
      </w:r>
      <w:r>
        <w:t>号）</w:t>
      </w:r>
      <w:r>
        <w:rPr>
          <w:rFonts w:hint="eastAsia"/>
        </w:rPr>
        <w:t>和</w:t>
      </w:r>
      <w:r>
        <w:t>《</w:t>
      </w:r>
      <w:r>
        <w:rPr>
          <w:rFonts w:hint="eastAsia"/>
        </w:rPr>
        <w:t>湖南省发展和改革委员会关于下达全省易地扶贫搬迁2017年度预安排计划的通知</w:t>
      </w:r>
      <w:r>
        <w:t>》（</w:t>
      </w:r>
      <w:r>
        <w:rPr>
          <w:rFonts w:hint="eastAsia"/>
        </w:rPr>
        <w:t>湘发改西开</w:t>
      </w:r>
      <w:r>
        <w:t>〔201</w:t>
      </w:r>
      <w:r>
        <w:rPr>
          <w:rFonts w:hint="eastAsia"/>
        </w:rPr>
        <w:t>6</w:t>
      </w:r>
      <w:r>
        <w:t>〕</w:t>
      </w:r>
      <w:r>
        <w:rPr>
          <w:rFonts w:hint="eastAsia"/>
        </w:rPr>
        <w:t>898</w:t>
      </w:r>
      <w:r>
        <w:t>号）</w:t>
      </w:r>
      <w:r>
        <w:rPr>
          <w:rFonts w:hint="eastAsia"/>
        </w:rPr>
        <w:t>的规定与要求，</w:t>
      </w:r>
      <w:r>
        <w:rPr>
          <w:rFonts w:cs="Times New Roman"/>
          <w:kern w:val="0"/>
        </w:rPr>
        <w:t>在</w:t>
      </w:r>
      <w:r>
        <w:rPr>
          <w:rFonts w:hint="eastAsia" w:cs="Times New Roman"/>
          <w:kern w:val="0"/>
        </w:rPr>
        <w:t>耒阳市</w:t>
      </w:r>
      <w:r>
        <w:rPr>
          <w:rFonts w:cs="Times New Roman"/>
          <w:kern w:val="0"/>
        </w:rPr>
        <w:t>乡镇规划</w:t>
      </w:r>
      <w:r>
        <w:rPr>
          <w:rFonts w:hint="eastAsia" w:cs="Times New Roman"/>
          <w:kern w:val="0"/>
        </w:rPr>
        <w:t>调整</w:t>
      </w:r>
      <w:r>
        <w:rPr>
          <w:rFonts w:cs="Times New Roman"/>
          <w:kern w:val="0"/>
        </w:rPr>
        <w:t>完善方案编制过程中，技术单</w:t>
      </w:r>
      <w:r>
        <w:t>位积极与相关单位对接</w:t>
      </w:r>
      <w:r>
        <w:rPr>
          <w:rFonts w:hint="eastAsia"/>
        </w:rPr>
        <w:t>，根据扶贫攻坚计划，重点保障了易地扶贫安置小区、配套基础设施、重点产业项目等的用地需求。将易地扶贫拆迁户按照城乡建设用地增减挂钩的项目实施要求，安排了城乡建设用地增减挂钩项目。</w:t>
      </w:r>
    </w:p>
    <w:p>
      <w:pPr>
        <w:pStyle w:val="3"/>
        <w:ind w:firstLine="602"/>
      </w:pPr>
      <w:bookmarkStart w:id="206" w:name="_Toc485040275"/>
      <w:r>
        <w:t>第</w:t>
      </w:r>
      <w:r>
        <w:rPr>
          <w:rFonts w:hint="eastAsia"/>
        </w:rPr>
        <w:t>十</w:t>
      </w:r>
      <w:r>
        <w:t xml:space="preserve">节  </w:t>
      </w:r>
      <w:r>
        <w:rPr>
          <w:rFonts w:hint="eastAsia"/>
        </w:rPr>
        <w:t>与生态红线工作的衔接</w:t>
      </w:r>
      <w:bookmarkEnd w:id="206"/>
    </w:p>
    <w:p>
      <w:pPr>
        <w:ind w:firstLine="560"/>
        <w:rPr>
          <w:szCs w:val="28"/>
        </w:rPr>
      </w:pPr>
      <w:r>
        <w:rPr>
          <w:rFonts w:hint="eastAsia"/>
          <w:szCs w:val="28"/>
        </w:rPr>
        <w:t>根据生态红线划定的需求，按照生态红线的划定的要求，</w:t>
      </w:r>
      <w:r>
        <w:rPr>
          <w:szCs w:val="28"/>
        </w:rPr>
        <w:t>统筹规划，将</w:t>
      </w:r>
      <w:r>
        <w:rPr>
          <w:rFonts w:hint="eastAsia"/>
        </w:rPr>
        <w:t>I级保护林地，饮用水源保护区，蔡伦竹海风景区、耒水国家湿地公园的生态保育区、长坪南方红豆杉自然保护区的核心区等划入生态保护红线之内，</w:t>
      </w:r>
      <w:r>
        <w:rPr>
          <w:szCs w:val="28"/>
        </w:rPr>
        <w:t>区域内禁止开展与保护无关的一切建设活动，禁止工业生产、资源开发、城镇建设等</w:t>
      </w:r>
      <w:r>
        <w:rPr>
          <w:rFonts w:hint="eastAsia"/>
          <w:szCs w:val="28"/>
        </w:rPr>
        <w:t>。</w:t>
      </w:r>
    </w:p>
    <w:p>
      <w:pPr>
        <w:pStyle w:val="3"/>
        <w:ind w:firstLine="602"/>
      </w:pPr>
      <w:bookmarkStart w:id="207" w:name="_Toc477514103"/>
      <w:bookmarkStart w:id="208" w:name="_Toc485040276"/>
      <w:bookmarkStart w:id="209" w:name="_Toc469878065"/>
      <w:bookmarkStart w:id="210" w:name="_Toc469877230"/>
      <w:r>
        <w:t>第</w:t>
      </w:r>
      <w:r>
        <w:rPr>
          <w:rFonts w:hint="eastAsia"/>
        </w:rPr>
        <w:t>十一</w:t>
      </w:r>
      <w:r>
        <w:t>节</w:t>
      </w:r>
      <w:r>
        <w:rPr>
          <w:rFonts w:hint="eastAsia"/>
        </w:rPr>
        <w:t xml:space="preserve">  </w:t>
      </w:r>
      <w:r>
        <w:t>与公众参与情况的协调</w:t>
      </w:r>
      <w:bookmarkEnd w:id="207"/>
      <w:bookmarkEnd w:id="208"/>
      <w:bookmarkEnd w:id="209"/>
      <w:bookmarkEnd w:id="210"/>
    </w:p>
    <w:p>
      <w:pPr>
        <w:ind w:firstLine="560"/>
        <w:rPr>
          <w:szCs w:val="28"/>
        </w:rPr>
      </w:pPr>
      <w:r>
        <w:t>土地利用总体规划关系地方政府、各政府相关部门、各用地单位、当地群众等各方利益，本次规划修改充分按照公众参与的原则开展工作。在编制规划修改方案阶段，通过座谈、会议等形式广泛听取了各方面的意见和建议。</w:t>
      </w:r>
      <w:bookmarkEnd w:id="195"/>
      <w:bookmarkEnd w:id="196"/>
      <w:bookmarkEnd w:id="197"/>
      <w:bookmarkEnd w:id="198"/>
    </w:p>
    <w:p>
      <w:pPr>
        <w:ind w:firstLine="560"/>
        <w:rPr>
          <w:szCs w:val="28"/>
        </w:rPr>
        <w:sectPr>
          <w:pgSz w:w="23814" w:h="16839" w:orient="landscape"/>
          <w:pgMar w:top="1701" w:right="1440" w:bottom="1701" w:left="1440" w:header="851" w:footer="992" w:gutter="0"/>
          <w:pgNumType w:start="1"/>
          <w:cols w:space="425" w:num="2"/>
          <w:docGrid w:type="lines" w:linePitch="381" w:charSpace="0"/>
        </w:sectPr>
      </w:pPr>
    </w:p>
    <w:p>
      <w:pPr>
        <w:pStyle w:val="21"/>
        <w:jc w:val="left"/>
        <w:rPr>
          <w:kern w:val="0"/>
        </w:rPr>
      </w:pPr>
      <w:bookmarkStart w:id="211" w:name="_Toc485040277"/>
      <w:r>
        <w:rPr>
          <w:rFonts w:hint="eastAsia"/>
          <w:kern w:val="0"/>
        </w:rPr>
        <w:t>附表</w:t>
      </w:r>
      <w:bookmarkEnd w:id="211"/>
    </w:p>
    <w:p>
      <w:pPr>
        <w:pStyle w:val="21"/>
      </w:pPr>
      <w:bookmarkStart w:id="212" w:name="_Toc485040278"/>
      <w:r>
        <w:rPr>
          <w:rFonts w:hint="eastAsia"/>
        </w:rPr>
        <w:t>附表</w:t>
      </w:r>
      <w:r>
        <w:t xml:space="preserve">1 </w:t>
      </w:r>
      <w:r>
        <w:rPr>
          <w:rFonts w:hint="eastAsia"/>
        </w:rPr>
        <w:t xml:space="preserve"> 耒阳市建制村合并前后对照名册</w:t>
      </w:r>
      <w:bookmarkEnd w:id="212"/>
    </w:p>
    <w:tbl>
      <w:tblPr>
        <w:tblStyle w:val="22"/>
        <w:tblW w:w="13716" w:type="dxa"/>
        <w:jc w:val="center"/>
        <w:tblLayout w:type="fixed"/>
        <w:tblCellMar>
          <w:top w:w="0" w:type="dxa"/>
          <w:left w:w="108" w:type="dxa"/>
          <w:bottom w:w="0" w:type="dxa"/>
          <w:right w:w="108" w:type="dxa"/>
        </w:tblCellMar>
      </w:tblPr>
      <w:tblGrid>
        <w:gridCol w:w="817"/>
        <w:gridCol w:w="567"/>
        <w:gridCol w:w="1418"/>
        <w:gridCol w:w="1134"/>
        <w:gridCol w:w="992"/>
        <w:gridCol w:w="1134"/>
        <w:gridCol w:w="1276"/>
        <w:gridCol w:w="1417"/>
        <w:gridCol w:w="992"/>
        <w:gridCol w:w="993"/>
        <w:gridCol w:w="1134"/>
        <w:gridCol w:w="978"/>
        <w:gridCol w:w="864"/>
      </w:tblGrid>
      <w:tr>
        <w:tblPrEx>
          <w:tblCellMar>
            <w:top w:w="0" w:type="dxa"/>
            <w:left w:w="108" w:type="dxa"/>
            <w:bottom w:w="0" w:type="dxa"/>
            <w:right w:w="108" w:type="dxa"/>
          </w:tblCellMar>
        </w:tblPrEx>
        <w:trPr>
          <w:trHeight w:val="113" w:hRule="atLeast"/>
          <w:jc w:val="center"/>
        </w:trPr>
        <w:tc>
          <w:tcPr>
            <w:tcW w:w="8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乡镇</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名称</w:t>
            </w:r>
          </w:p>
        </w:tc>
        <w:tc>
          <w:tcPr>
            <w:tcW w:w="524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调整前</w:t>
            </w:r>
          </w:p>
        </w:tc>
        <w:tc>
          <w:tcPr>
            <w:tcW w:w="765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调整后</w:t>
            </w:r>
          </w:p>
        </w:tc>
      </w:tr>
      <w:tr>
        <w:tblPrEx>
          <w:tblCellMar>
            <w:top w:w="0" w:type="dxa"/>
            <w:left w:w="108" w:type="dxa"/>
            <w:bottom w:w="0" w:type="dxa"/>
            <w:right w:w="108" w:type="dxa"/>
          </w:tblCellMar>
        </w:tblPrEx>
        <w:trPr>
          <w:trHeight w:val="113"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序号</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村（社区）名</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人口数（个）</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居民小组数</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面积（平方千米）</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序号</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村（社区）名</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减少建制村数量（个）</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人口数（个）</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居民小组数（个）</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面积（平方千米）</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备注</w:t>
            </w: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蔡子池街道</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西湖社区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9252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西湖社区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9252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金南社区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10408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金南社区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10408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金盆社区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19164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金盆社区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19164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牌楼社区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10023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牌楼社区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10023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化龙社区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10752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0.9</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化龙社区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10752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南正社区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5728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0.3</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南正社区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5728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聂洲社区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15209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1.87</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聂洲社区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15209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梅桥社区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9819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梅桥社区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9819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西关社区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9841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西关社区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9841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南方社区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3325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南方社区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3325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灶市街道</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五陵村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新大塘村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4568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8.53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新坡村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2112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楼下村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2323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东星村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3603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王差村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1280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泥塘村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2006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王子村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4036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8.52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王子村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2030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泗门洲社区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4（4村合1）</w:t>
            </w:r>
          </w:p>
        </w:tc>
        <w:tc>
          <w:tcPr>
            <w:tcW w:w="14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泗门洲社区</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4497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江冲村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1267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泗门村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2176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农科村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0.83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易成村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2316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5.34</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易成村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滩洲村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2176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滩洲村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2176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集中村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2063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集中村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2063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新渡村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3498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4.39</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新渡村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3498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白沙村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2942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白沙村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2942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花石村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2571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花石村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2571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铁路园社区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3481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铁路园社区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3481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天桥社区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4055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天桥社区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4055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彭桥社区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5522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彭桥社区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5522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车站社区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5566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车站社区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5566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灶市社区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8038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灶市社区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8038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联平社区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联平社区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零洲社区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3866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4.77</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零洲社区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3866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沙头社区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4805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3.09</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沙头社区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4805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红卫社区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7945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3.63</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红卫社区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7945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水东江街道</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1801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石梓村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4122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6.67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石梓村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2321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长胜村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1416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鹿岐社区</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3132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9.97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鹿岐社区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1716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竹市村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2254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竹市社区</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3909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竹塔市社区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1655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阳光村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2297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兴竹村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5864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14.05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2684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庙背村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883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3378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4.91</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双洲村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3378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内洲村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3113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3.55</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内洲村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花桥村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3213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4.25</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花桥村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东湾村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2646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7.19</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2646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7.19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金钩村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2802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6.95</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金钩村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2802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6.95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大成村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2298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4.25</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大成村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2298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毛田村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2525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4.39</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毛田村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2525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新联村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2167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2.51</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新联村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2167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2654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新塘村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2654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里王村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3.01</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里王村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东口村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8.05</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东口村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8.05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石下村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2365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4.34</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石下村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2365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大塘角村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2648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4.51</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大塘角村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2648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水东江社区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2728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4.06</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水东江社区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2728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东鹿社区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3005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7.2</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东鹿社区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3005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新和社区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1052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4.52</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新和社区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1052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桥头社区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3556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3.82</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桥头社区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3556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鹿峰社区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6151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4.88</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鹿峰社区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6151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白山坪社区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6726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7.43</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白山坪社区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6726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7.43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五里牌街道</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梅新村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1942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梅新村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1942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2085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上岭村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2085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火田村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2191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火田村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2191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栖凤园社区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10572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栖凤园社区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10572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金星社区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10898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金星社区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10898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金杯社区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8915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0.7</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金杯社区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8915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五里牌社区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4358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五里牌社区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4358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锡里社区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5704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锡里社区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5704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三架街道</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大金村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1350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七岭村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4560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七岭村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3210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白洋渡村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5903</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白洋渡村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5903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青麓社区</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4548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青麓社区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4548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三桥社区</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3404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三桥社区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3404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2147</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大塘村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2147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大丰村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3498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4.83</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3498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大胜村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2693</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大胜村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2693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皂丰村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3051</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皂丰村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3051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双泉村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2138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双泉村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2138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元木村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2604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元木村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2604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余庆街道</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观前村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1543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观前村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2655</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农科村（原余庆乡辖）</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1112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渔波村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1680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渔波村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2686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1006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三泉村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1434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向阳村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3330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黄沙村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1896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虾塘村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2390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4226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西冲村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1836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板陂村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1626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大兴村</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3647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五村村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2021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栗树村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2020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 （2村合1）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太阳升村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3941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1921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余冲村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1918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余冲村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3676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打鼓洲村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1758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栗梓村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1887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栗梓村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3336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枫林寺村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1449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水口村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1572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水口村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5195</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8.78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石余村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1598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丛苞村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2025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磨形村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2318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磨形村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4290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8.14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农科村（原磨形乡辖）</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杨丰村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1435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石王村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1695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石王村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4126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12.32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885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盖塘村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1546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同仁村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1982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同仁村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4418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11.41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梓元村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1912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枞杨树村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青坡村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青坡村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2200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龙陂村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2191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5.35</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龙陂村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2191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2375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南桥村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2375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西元村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3454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西元村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3454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余庆圩社区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819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2.59</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余庆圩社区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南岭社区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2361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南岭社区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2361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三顺社区</w:t>
            </w:r>
          </w:p>
        </w:tc>
        <w:tc>
          <w:tcPr>
            <w:tcW w:w="1134"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3120</w:t>
            </w:r>
          </w:p>
        </w:tc>
        <w:tc>
          <w:tcPr>
            <w:tcW w:w="992"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三顺社区</w:t>
            </w:r>
          </w:p>
        </w:tc>
        <w:tc>
          <w:tcPr>
            <w:tcW w:w="992"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3120</w:t>
            </w:r>
          </w:p>
        </w:tc>
        <w:tc>
          <w:tcPr>
            <w:tcW w:w="1134"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5.16</w:t>
            </w:r>
          </w:p>
        </w:tc>
        <w:tc>
          <w:tcPr>
            <w:tcW w:w="864"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新</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市</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新市村</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2055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1276" w:type="dxa"/>
            <w:vMerge w:val="restart"/>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新市社区</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2855</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9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86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nil"/>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新市社区</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1276" w:type="dxa"/>
            <w:vMerge w:val="continue"/>
            <w:tcBorders>
              <w:top w:val="nil"/>
              <w:left w:val="nil"/>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水东村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2385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1.99</w:t>
            </w:r>
          </w:p>
        </w:tc>
        <w:tc>
          <w:tcPr>
            <w:tcW w:w="1276" w:type="dxa"/>
            <w:vMerge w:val="restart"/>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对河坪村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4463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水西村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2078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1.99</w:t>
            </w:r>
          </w:p>
        </w:tc>
        <w:tc>
          <w:tcPr>
            <w:tcW w:w="1276" w:type="dxa"/>
            <w:vMerge w:val="continue"/>
            <w:tcBorders>
              <w:top w:val="nil"/>
              <w:left w:val="nil"/>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渠塘村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2643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3.62</w:t>
            </w:r>
          </w:p>
        </w:tc>
        <w:tc>
          <w:tcPr>
            <w:tcW w:w="1276" w:type="dxa"/>
            <w:vMerge w:val="restart"/>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 （2村合1）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渠塘村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4258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和平村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1615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1.52</w:t>
            </w:r>
          </w:p>
        </w:tc>
        <w:tc>
          <w:tcPr>
            <w:tcW w:w="1276" w:type="dxa"/>
            <w:vMerge w:val="continue"/>
            <w:tcBorders>
              <w:top w:val="nil"/>
              <w:left w:val="nil"/>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龙市村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2086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3.58</w:t>
            </w:r>
          </w:p>
        </w:tc>
        <w:tc>
          <w:tcPr>
            <w:tcW w:w="1276" w:type="dxa"/>
            <w:vMerge w:val="restart"/>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龙市村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4434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8.39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树山村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2348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4.81</w:t>
            </w:r>
          </w:p>
        </w:tc>
        <w:tc>
          <w:tcPr>
            <w:tcW w:w="1276" w:type="dxa"/>
            <w:vMerge w:val="continue"/>
            <w:tcBorders>
              <w:top w:val="nil"/>
              <w:left w:val="nil"/>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周星村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2088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w:t>
            </w:r>
          </w:p>
        </w:tc>
        <w:tc>
          <w:tcPr>
            <w:tcW w:w="1276" w:type="dxa"/>
            <w:vMerge w:val="restart"/>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洲星湾村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4505</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湾李村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2417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4.89</w:t>
            </w:r>
          </w:p>
        </w:tc>
        <w:tc>
          <w:tcPr>
            <w:tcW w:w="1276" w:type="dxa"/>
            <w:vMerge w:val="continue"/>
            <w:tcBorders>
              <w:top w:val="nil"/>
              <w:left w:val="nil"/>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高潮村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1513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2.33</w:t>
            </w:r>
          </w:p>
        </w:tc>
        <w:tc>
          <w:tcPr>
            <w:tcW w:w="1276" w:type="dxa"/>
            <w:vMerge w:val="restart"/>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大兴龙村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2538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大兴龙村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1025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276" w:type="dxa"/>
            <w:vMerge w:val="continue"/>
            <w:tcBorders>
              <w:top w:val="nil"/>
              <w:left w:val="nil"/>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长泉村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792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1.92</w:t>
            </w:r>
          </w:p>
        </w:tc>
        <w:tc>
          <w:tcPr>
            <w:tcW w:w="1276" w:type="dxa"/>
            <w:vMerge w:val="restart"/>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双泉村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1912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后泉村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1120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1.55</w:t>
            </w:r>
          </w:p>
        </w:tc>
        <w:tc>
          <w:tcPr>
            <w:tcW w:w="1276" w:type="dxa"/>
            <w:vMerge w:val="continue"/>
            <w:tcBorders>
              <w:top w:val="nil"/>
              <w:left w:val="nil"/>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日升村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1483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3.34</w:t>
            </w:r>
          </w:p>
        </w:tc>
        <w:tc>
          <w:tcPr>
            <w:tcW w:w="1276" w:type="dxa"/>
            <w:vMerge w:val="restart"/>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 （3村合1）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纠陂村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3036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纠陂村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1553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2.68</w:t>
            </w:r>
          </w:p>
        </w:tc>
        <w:tc>
          <w:tcPr>
            <w:tcW w:w="1276" w:type="dxa"/>
            <w:vMerge w:val="continue"/>
            <w:tcBorders>
              <w:top w:val="nil"/>
              <w:left w:val="nil"/>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黄泥村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3144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7.79</w:t>
            </w:r>
          </w:p>
        </w:tc>
        <w:tc>
          <w:tcPr>
            <w:tcW w:w="1276" w:type="dxa"/>
            <w:vMerge w:val="restart"/>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黄泥村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3607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栗山村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0.61</w:t>
            </w:r>
          </w:p>
        </w:tc>
        <w:tc>
          <w:tcPr>
            <w:tcW w:w="1276" w:type="dxa"/>
            <w:vMerge w:val="continue"/>
            <w:tcBorders>
              <w:top w:val="nil"/>
              <w:left w:val="nil"/>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贺村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1374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3.09</w:t>
            </w:r>
          </w:p>
        </w:tc>
        <w:tc>
          <w:tcPr>
            <w:tcW w:w="1276" w:type="dxa"/>
            <w:vMerge w:val="restart"/>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 （3村合1）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木兰村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5537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9.77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木兰村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1897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2.65</w:t>
            </w:r>
          </w:p>
        </w:tc>
        <w:tc>
          <w:tcPr>
            <w:tcW w:w="1276" w:type="dxa"/>
            <w:vMerge w:val="continue"/>
            <w:tcBorders>
              <w:top w:val="nil"/>
              <w:left w:val="nil"/>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源山村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2266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4.03</w:t>
            </w:r>
          </w:p>
        </w:tc>
        <w:tc>
          <w:tcPr>
            <w:tcW w:w="1276" w:type="dxa"/>
            <w:vMerge w:val="continue"/>
            <w:tcBorders>
              <w:top w:val="nil"/>
              <w:left w:val="nil"/>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高炉村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2495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高炉村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2495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bCs/>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横龙村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2544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6.77</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横龙村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2544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6.77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nil"/>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坪上村</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1538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坪上村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1538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418" w:type="dxa"/>
            <w:tcBorders>
              <w:top w:val="nil"/>
              <w:left w:val="nil"/>
              <w:bottom w:val="single" w:color="auto" w:sz="4" w:space="0"/>
              <w:right w:val="nil"/>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新城社区</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1377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0.66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新城社区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1377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0.66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418" w:type="dxa"/>
            <w:tcBorders>
              <w:top w:val="nil"/>
              <w:left w:val="nil"/>
              <w:bottom w:val="single" w:color="auto" w:sz="4" w:space="0"/>
              <w:right w:val="nil"/>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新建社区</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0.69</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新建社区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1400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0.69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1418" w:type="dxa"/>
            <w:tcBorders>
              <w:top w:val="nil"/>
              <w:left w:val="nil"/>
              <w:bottom w:val="single" w:color="auto" w:sz="4" w:space="0"/>
              <w:right w:val="nil"/>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花园社区</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1305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0.63</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花园社区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1305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0.63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遥</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田</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五七村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2064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锡田村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3348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8.38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石盐山村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1284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宣塘村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2593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皂新村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4033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皂新村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1440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幸福村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4007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幸福村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7313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8.76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灯塔村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1881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1425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2331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红桥村</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5869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1715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红卫村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1823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被塘村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3825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7.33</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被塘村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3825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建新村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2440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5.67</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建新村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2440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5.67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麻塘村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2578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麻塘村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2578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立新村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2354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5.13</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立新村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2354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电站社区</w:t>
            </w:r>
          </w:p>
        </w:tc>
        <w:tc>
          <w:tcPr>
            <w:tcW w:w="1134"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1718</w:t>
            </w:r>
          </w:p>
        </w:tc>
        <w:tc>
          <w:tcPr>
            <w:tcW w:w="992"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2.04</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电站社区</w:t>
            </w:r>
          </w:p>
        </w:tc>
        <w:tc>
          <w:tcPr>
            <w:tcW w:w="992"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1718</w:t>
            </w:r>
          </w:p>
        </w:tc>
        <w:tc>
          <w:tcPr>
            <w:tcW w:w="1134"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978" w:type="dxa"/>
            <w:tcBorders>
              <w:top w:val="nil"/>
              <w:left w:val="nil"/>
              <w:bottom w:val="nil"/>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夏</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塘</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莫浣村</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1823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新泉村</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3798</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新湖村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1975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夏岭村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2730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夏岭村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4718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三坡村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1988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上蕉冲村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1176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焦冲村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2427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下焦冲村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1251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福龙村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3950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福利村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兴康村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1851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兴康村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2838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小康村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987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严塘村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1280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严塘村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2590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艾芳村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1310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上昂头村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1567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昂头村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2687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下昂头村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1120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1280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长冲社区</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3180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长冲社区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0.68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二都村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1483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953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长冲村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3273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袁家冲村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新群村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牛口村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2060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新牛岭村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5160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9.41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葵田村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3477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7.5</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葵田村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3477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2056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2056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夏塘社区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1225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0.8</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夏塘社区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1225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南</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京</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白马村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1466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白马村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2984</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集景村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1518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杉木村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2493</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杉木村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4029</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马安村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1536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央田村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2030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央田村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4947</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15.42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资家塘村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1560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城上铺村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1357</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白毛村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1657</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白毛村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4450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12.04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1807</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西江村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986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车头村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2337</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车头村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2337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回龙村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1613</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回龙村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江里村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2803</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江里村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2803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龙凤村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2532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龙凤村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2532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南京村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3497</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11.56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南京村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3497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11.56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公</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平</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圩</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公平社区</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1118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8.97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公平社区</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1999</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新山村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881</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0.41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2546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6.01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白鹭村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4525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10.44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鲁碑村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1979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暮冲村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1398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慕群村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4461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5.48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群丰村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3063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公平村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2071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公平村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4100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严丰村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2029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农科村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龙形村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2285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合意村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1535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新华村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2512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华南村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3645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易南村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1133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横岭村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1487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黄糯冲村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4574</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横冲村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1940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小泉村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1147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鲁塘村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1229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泉沙村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4338</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10.87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南禾村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1893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泉沙村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1216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光华村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2679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大路村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5124</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10.84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大路村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1209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云山村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1236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桐树村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3370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桐树村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3370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洲泉村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3181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7.47</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洲泉村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3181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7.47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楼前村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1891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7.84</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楼前村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1891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7.84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石湾村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3171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3171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花禾村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1717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花禾村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黄</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市</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大河村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2560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大河滩村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5240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12.15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民丰村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2680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6.95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万清村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1062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严村村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2326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5.74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严冲村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1264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黄山村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1483</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金坪村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3109</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7.19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马坪村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1626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清水村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916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清水铺村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2278</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7.87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麻塘村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1362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阳塘村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2130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阳塘村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3258</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大义村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1128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黄市社区</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3494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黄市社区</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5603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石市村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2109</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黄市村</w:t>
            </w:r>
          </w:p>
        </w:tc>
        <w:tc>
          <w:tcPr>
            <w:tcW w:w="1134" w:type="dxa"/>
            <w:tcBorders>
              <w:top w:val="nil"/>
              <w:left w:val="nil"/>
              <w:bottom w:val="single" w:color="auto" w:sz="4" w:space="0"/>
              <w:right w:val="single" w:color="auto" w:sz="4" w:space="0"/>
            </w:tcBorders>
            <w:shd w:val="clear" w:color="000000" w:fill="CCE8CF"/>
            <w:vAlign w:val="center"/>
          </w:tcPr>
          <w:p>
            <w:pPr>
              <w:widowControl/>
              <w:spacing w:line="320" w:lineRule="exact"/>
              <w:ind w:firstLine="0" w:firstLineChars="0"/>
              <w:jc w:val="center"/>
              <w:rPr>
                <w:rFonts w:ascii="仿宋_GB2312" w:hAnsi="宋体" w:cs="宋体"/>
                <w:kern w:val="0"/>
                <w:sz w:val="21"/>
                <w:szCs w:val="21"/>
              </w:rPr>
            </w:pPr>
          </w:p>
        </w:tc>
        <w:tc>
          <w:tcPr>
            <w:tcW w:w="992" w:type="dxa"/>
            <w:tcBorders>
              <w:top w:val="nil"/>
              <w:left w:val="nil"/>
              <w:bottom w:val="single" w:color="auto" w:sz="4" w:space="0"/>
              <w:right w:val="single" w:color="auto" w:sz="4" w:space="0"/>
            </w:tcBorders>
            <w:shd w:val="clear" w:color="000000" w:fill="CCE8CF"/>
            <w:vAlign w:val="center"/>
          </w:tcPr>
          <w:p>
            <w:pPr>
              <w:widowControl/>
              <w:spacing w:line="320" w:lineRule="exact"/>
              <w:ind w:firstLine="0" w:firstLineChars="0"/>
              <w:jc w:val="center"/>
              <w:rPr>
                <w:rFonts w:ascii="仿宋_GB2312" w:hAnsi="宋体" w:cs="宋体"/>
                <w:kern w:val="0"/>
                <w:sz w:val="21"/>
                <w:szCs w:val="21"/>
              </w:rPr>
            </w:pPr>
          </w:p>
        </w:tc>
        <w:tc>
          <w:tcPr>
            <w:tcW w:w="1134" w:type="dxa"/>
            <w:tcBorders>
              <w:top w:val="nil"/>
              <w:left w:val="nil"/>
              <w:bottom w:val="single" w:color="auto" w:sz="4" w:space="0"/>
              <w:right w:val="single" w:color="auto" w:sz="4" w:space="0"/>
            </w:tcBorders>
            <w:shd w:val="clear" w:color="000000" w:fill="CCE8CF"/>
            <w:vAlign w:val="center"/>
          </w:tcPr>
          <w:p>
            <w:pPr>
              <w:widowControl/>
              <w:spacing w:line="320" w:lineRule="exact"/>
              <w:ind w:firstLine="0" w:firstLineChars="0"/>
              <w:jc w:val="center"/>
              <w:rPr>
                <w:rFonts w:ascii="仿宋_GB2312" w:hAnsi="宋体" w:cs="宋体"/>
                <w:kern w:val="0"/>
                <w:sz w:val="21"/>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株山村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1977</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5.94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竹海村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5815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16.89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白沙村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1946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凉亭村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1892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6.84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上堡村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1939</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3.67</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上堡村</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1939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小</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水</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长春村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1904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长金村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3441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8.98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金盆村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1537</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江坡村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1689</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五丰村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3415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东洲村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1726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冲头村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2089</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中兴村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3577</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7.52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毛坪村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1488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白毛村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1836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7.47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 （2村合1）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福兴村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3248</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12.52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六角村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1448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徐坡村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954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徐坡村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2154</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山陂村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1200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梧桥村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1645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梧桥铺村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4325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曙光村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2680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中龙塘村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1424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 （2村合1）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四都村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3290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新居村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1866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双龙村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1248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 （2村合1）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黄龙村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3227</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黄岗村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1979</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堰头村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1131</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群力村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4041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6.44</w:t>
            </w:r>
          </w:p>
        </w:tc>
        <w:tc>
          <w:tcPr>
            <w:tcW w:w="8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群力村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1862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谭宣村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1048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农科村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1604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0.99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小水社区</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4086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小水村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1180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小水社区</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1302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0.26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杨塘村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2068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幸福村</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5392</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10.02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新成村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1764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豪坡村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1560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畔塘村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2530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畔塘村</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4475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7.73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富源村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1371</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李家村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574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0.94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永福村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1462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满州村</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5138</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9.95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满州村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1574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洲里村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2102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源头村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1600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 （3村合1）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小圩村</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4552</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8.61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泉山村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1580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小圩村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1372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嘹亮村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2908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嘹亮村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2908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泉水村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3280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6.57</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泉水村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3280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金山村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2005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金山村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2005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柘溪村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1458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柘溪村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1458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界冲村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1785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界冲村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1785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哲</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桥</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东江口村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1339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泉塘边村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4034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12.94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泉塘边村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2695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8.94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庙下村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2168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8.29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红星村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3388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15.31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横山冲村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1220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7.02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兴旺村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1717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太阳村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3846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9.17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大屋村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2129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小岸村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1709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和平村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3316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板桥村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1607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黎明村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2268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5.71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黎明村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3450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11.01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南京塘村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1182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苏民村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2562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苏民村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3853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10.69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白茫村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1291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石仙村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2585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8.74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石仙村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4402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13.44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陈塘村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1817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樟树村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1684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樟树社区</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2302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铺上社区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0.93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2144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5.65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6097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14.64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畔冲村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2126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5.41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泉竹村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1827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哲桥村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1880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哲桥社区</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3347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会江村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1086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车站社区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塔水村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2771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塔水村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2771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长源村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5.29</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长源村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2300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三益村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2036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3.69</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三益村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2036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三</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都</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上架村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1502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文冲村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3624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7.87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文冲村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2122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下石镜村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1081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2336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7.12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丛木塘村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1255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高龙村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1085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东冲村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3010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5.42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1925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明冲村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2010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明冲村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3035</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6.07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1025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泰山背村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1548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侯憩仙村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3681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6.79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高灯村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2133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上山田村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1476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马康村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2985</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马康村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1509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石准村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1491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村石准</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2996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7.49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干田洞村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1505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南庄村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1975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南庄村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3087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水口村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1112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洪塘村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945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洪塘村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2471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大木村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1526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早禾田村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1480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早禾田村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3071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8.19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银子冲村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1591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圩冲村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1370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板桥村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2768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板桥村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1398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南基村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南基村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4512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10.33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流塘村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995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珊钿村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1667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1208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古楼村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4325</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10.15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古楼村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1412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东畔村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1705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下庄村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1573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14（4村合1）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下庄村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4963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11.53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架木村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992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上湾村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1141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界冲村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1257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三都村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15（4村合1）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三都社区</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4181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7.82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牛脑头社区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金池村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1029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竹山村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1297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双红村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3511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双红村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坪洲村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2009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坪洲村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2009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永</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济</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清风村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1496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龙清村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4408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龙水村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2912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良田村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1787</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金钩村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4115</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金钩村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2328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金开村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2082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大河边村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4879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大河边村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2797</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向阳村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1362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谷丰村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3061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北平村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1699</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白凤村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1781</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白凤村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3667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柏马村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1886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永济村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1094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永济社区</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4050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百里渡村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1835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永盛社区</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1121</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丰湖村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2829</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丰湖村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2829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大众村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3472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大众村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3472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花园村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2235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花园村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2235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龙</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塘</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香兰村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1589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香兰村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2787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1198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通水村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1830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通水村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2741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8.88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911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龙形村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1099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举山村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3413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7.78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主山村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2314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畔塘村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1543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蚕子村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3256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蚕子村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1713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落凤村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龙凤社区</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4677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司兰桥社区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1421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福星村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1656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铁炉村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1131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高寨村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3512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6.78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高寨村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1227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王冲村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1154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1312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远宏村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5245</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10.07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1752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乌冲村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2181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龙塘尾村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白洋村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3310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7.66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牛江村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990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白洋村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1396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2869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龙塘村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2869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江头村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2141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江头村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2141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严江村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2141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严江村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2141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大</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市</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2198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泉水村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4939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8.12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水口村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2741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长布村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1428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长溪村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2678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6.04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上溪冲村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集中村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1848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集新村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4062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2214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蒲兴村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1656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大桥村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2942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土桥村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1286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丰水村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1490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枫水滩村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3180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油屋村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1690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大市村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2885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大市社区</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5697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8.59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大陂村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1732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大市社区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1080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八石村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1668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石江塘村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5046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11.53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架江村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1652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1726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老屋坪村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2756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紫峰村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6620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11.16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明星村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1884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上堂村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1980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新田坪村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1236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3960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8.32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下冲村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1246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1478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敖山村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3415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10（4村合1）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敖山村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7020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13.65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关帝村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2183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农科村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915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油茶场村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花坪村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2387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3.07</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花坪村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2387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3268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3268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2924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3.37</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长洲村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2924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排一村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3689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排一村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3689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芭蕉村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3304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7.09</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芭蕉村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3304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7.09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利群村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2129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4.99</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利群村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2129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石壕村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2568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石壕村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2568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淝</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田</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肥美村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1700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肥美村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3229</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飞跃村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1529</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二官塘村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1800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3780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板石塘村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1980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光芒村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1118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集凤村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2574</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白米山村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1456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红旗村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2429</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红旗村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3899</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围塘村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1470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庙下圩村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2081</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五岳村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3556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bCs/>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五岳村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1475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b/>
                <w:bCs/>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利荆村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1520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利兴村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3551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振兴村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2031</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同心村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1800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黄草洲村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5443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bCs/>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合意村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2088</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b/>
                <w:bCs/>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红光村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1555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b/>
                <w:bCs/>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五泉村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2035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6.8</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五泉村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2035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南</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阳</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天门村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1226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石门村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2782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界石村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1556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2417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金星村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3442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1025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星子村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2379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星子村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3947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堰乡村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1568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2024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排山村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4436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排山村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2412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1653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仁里村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3388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仁里村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1735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壕塘村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1453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田心村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3132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田心村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1679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三鹿村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1261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盐沙村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5258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盐沙村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1841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繁荣村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2156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木桥村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1844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淝江村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5552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淝江村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1471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朱子村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2237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2349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南阳村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5017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新胜村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1502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樟木村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1166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高塘湖村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2761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高塘湖村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2761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3291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高岭村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3291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南阳社区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7100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南阳社区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7100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仁</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义</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安和村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2721</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友谊村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5813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湾头村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3292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沿河村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1167</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沿江村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3120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渡江村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1953</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阳乌村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2005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王屋村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4445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17.21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王家村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1099</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杉山村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桃园村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416</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衡头村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2613</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衡头村</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先锋村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2865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先锋村</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2865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纸槽村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3432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纸槽村</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3432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仁义村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3902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仁义村</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3902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十里村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5622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十里村</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5622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邝</w:t>
            </w:r>
            <w:r>
              <w:rPr>
                <w:rFonts w:hint="eastAsia" w:ascii="宋体" w:hAnsi="宋体" w:eastAsia="宋体" w:cs="宋体"/>
                <w:kern w:val="0"/>
                <w:sz w:val="21"/>
                <w:szCs w:val="21"/>
              </w:rPr>
              <w:t>鄘</w:t>
            </w:r>
            <w:r>
              <w:rPr>
                <w:rFonts w:hint="eastAsia" w:ascii="仿宋_GB2312" w:hAnsi="仿宋_GB2312" w:cs="仿宋_GB2312"/>
                <w:kern w:val="0"/>
                <w:sz w:val="21"/>
                <w:szCs w:val="21"/>
              </w:rPr>
              <w:t>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3823</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邝</w:t>
            </w:r>
            <w:r>
              <w:rPr>
                <w:rFonts w:hint="eastAsia" w:ascii="宋体" w:hAnsi="宋体" w:eastAsia="宋体" w:cs="宋体"/>
                <w:kern w:val="0"/>
                <w:sz w:val="21"/>
                <w:szCs w:val="21"/>
              </w:rPr>
              <w:t>鄘</w:t>
            </w:r>
            <w:r>
              <w:rPr>
                <w:rFonts w:hint="eastAsia" w:ascii="仿宋_GB2312" w:hAnsi="仿宋_GB2312" w:cs="仿宋_GB2312"/>
                <w:kern w:val="0"/>
                <w:sz w:val="21"/>
                <w:szCs w:val="21"/>
              </w:rPr>
              <w:t>村</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3823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茶丰村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3994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茶丰村</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3994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罗渡村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4314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罗渡村</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4314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党田村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3139</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党田村</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3139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导</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子</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畔冲村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2201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畔山村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3713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12.21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邓山村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1512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5.76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沙明村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2613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沙明村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3567</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13.15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954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1299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2541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洞中村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1242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after="240"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洞中村</w:t>
            </w: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通林村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1228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2483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8.05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中山坪村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1255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中山坪村</w:t>
            </w: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竹楼村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2042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7.12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4030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12.74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柳山村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1988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5.62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柳扶村</w:t>
            </w: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扶冲村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1163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2140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8.85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上浔村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977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上浔村</w:t>
            </w: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南湾村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1095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3247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董溪村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1194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董溪村</w:t>
            </w: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群联村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958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导子洲社区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1627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5.93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导子社区</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4447</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16.25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导子村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956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楼下村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1864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紫江村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1779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紫江村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3936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农科村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1132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上古村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1025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浔江村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1852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浔江村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4383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12.08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曹流村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1512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双攸村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1019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横塘村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1426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横塘村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2607</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雄江村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流天村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696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和平村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和平村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1800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双喜村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4.77</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双喜村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1100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马</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水</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膳田村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1957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10.23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膳田村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3784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16.36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沅江村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1827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江塘村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1255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6.48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江塘村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2886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14.52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东南村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1631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8.04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洲陂村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2134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洲陂村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2943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8.95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石洞江村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809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燕中村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1905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9.53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燕中村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3107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16.17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泉边村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1202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6.64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陆新村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1439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5.87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陆新村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3647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12.66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青绿村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2208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6.79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乐田村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1433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乐田村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3616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8.17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高升村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2183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积岭村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1685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积岭村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3010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8.67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小芬村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1325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丹田村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3107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丹田村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4644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7.14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上丹田村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1537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坪田村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2008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坪田村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3209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7.53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贺家洞村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1201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山田村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1283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山田村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2529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货塘村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1246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圳边村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1714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圳桥村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2956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5.42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桥头村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1242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东升村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2023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6.69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东升村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3971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11.14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矮岭村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1330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马一村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桃花村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2248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5.99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 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桃花村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5721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17.58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滩头村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1959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小河田村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1514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7.47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湖德村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3431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湖德村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7320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20.93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山岭村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1733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9.51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合江村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2156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堰新村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1911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堰新村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东</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湖</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圩</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株山村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1711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6.73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泉山村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3839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13.31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2128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1403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上石羔村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2562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6.87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1159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坳山村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3106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坳山村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5379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10.86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北龙村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2273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5.64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2661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田芝村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4951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11.28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玄芝村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2290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1787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6.02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小塘铺村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3886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13.12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2099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7.10</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1449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0.37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小山村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4063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8.59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山田村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1157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湖塘村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1457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枣子村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1806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金枣坪</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4210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13.51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金盆村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1444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太坪村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960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枫林村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1414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枫林村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5309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13.91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2769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6.98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农科村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1126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汤泉村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10.83</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汤泉村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4100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10.83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13.24</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大桥村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3000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13.24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观音阁村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8.68</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观音阁村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2200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8.68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东湖社区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2.27</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东湖社区</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800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大</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义</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镇</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陶洲村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1339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7.97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陶洲村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3479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东坪村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2140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12.63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石正村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1790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石镜村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3187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5.79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上石村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1397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红泉上村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1544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12.84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红泉村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2892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12.84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红泉下村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1348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船江村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1763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船形村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2849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淝塘村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1086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泥湾村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1606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永红村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2769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6.09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合建村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1163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谭家湾村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1406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7.82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东方红村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2540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12.77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滩龙村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1134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兴隆村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1423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兴城村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2495</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古城村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1072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尧隆村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1604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尧银村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2524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5.69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苏银楼村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古塘村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930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古塘村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1802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泥丰村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872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1759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三石村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3949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8.51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石联村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1052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鱼石村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1138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石准村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11（3村合1）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新白石村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3319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7.11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1182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1217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大义圩村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1311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12（4村合1）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大义圩村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5288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7.68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龙湾村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1233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巩固桥村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1464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洲上村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1280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红联村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1909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红联村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1909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大</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和</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圩</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乡</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春江村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1859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4.092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春江铺村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4394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8.492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存谷村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2535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莲花村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2712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4.979</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莲花村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5148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9.944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陡岭村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2436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4.964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樟田村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1802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3.706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樟田村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4004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7.547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群阳村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2202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3.841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1785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2.801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丰乐村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3453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5.91</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丰乐村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1668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3.108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茂泉村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1203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1.342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五和村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3800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4.624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五和村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2597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3.281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沙元村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1513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4.067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沙元村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3336</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6.752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新立村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1823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2.684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联盟村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2187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3.312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禄田村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4538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7.09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禄田村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2351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3.778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荣公村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5.137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荣华村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4134</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9.107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新华村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2284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群乐村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1991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3.038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雅江村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4193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6.527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雅江村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2202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3.489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爱群村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1548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4.688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瑶洞村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3030</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12.755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瑶洞村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1482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8.067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坛</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下</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乡</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湾阳村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1981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光华村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3533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7.54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屈家村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1552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曾洲村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1409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石坝墩村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4078</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10.86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石墩村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2669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寨尹村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2500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5.95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寨下仙村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4679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14.57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新建村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2179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8.62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江边村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2345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7.61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和平村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3807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10.23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大通村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1462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1371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东升村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2703</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软石村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1332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坛下村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1511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坛下村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3331</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普桥村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1820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2143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3.93</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金冲村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2143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3.93</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天宝村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2302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天宝村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2302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一甲村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1621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一甲村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1621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长</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坪</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乡</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六子村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1824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和平村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3356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大群村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1532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泰源村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1464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3.58</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大元村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3266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8.16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谭南村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1802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西岭村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1803</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双岭村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3177</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泰岭村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1374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深塘村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1070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2.06</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双塘村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2524</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4.66</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鲁塘村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1454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石枧村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1823</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石枧村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2946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托福村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1123</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长坪村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2530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长坪村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5105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9.53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田坎村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1145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布尾村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1430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坳上村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712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潭湖村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2744</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潭湖桥村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1002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洞中村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1030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高峰村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1275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马形村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3031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5.08</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黄泽源村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749</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1.24</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西湾村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1007</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黄龙村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1980</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4.58</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黄龙村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1980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4.58</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破塘村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2089</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破塘村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2089</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高岭村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2454</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5.66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高岭村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2454</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5.66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清平村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2752</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6.15</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清平村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2752</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6.15</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神岭村</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1895</w:t>
            </w:r>
          </w:p>
        </w:tc>
        <w:tc>
          <w:tcPr>
            <w:tcW w:w="992"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神岭村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1895</w:t>
            </w:r>
          </w:p>
        </w:tc>
        <w:tc>
          <w:tcPr>
            <w:tcW w:w="1134"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太</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平</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圩</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乡</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官探村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1987</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官探村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3530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金宝村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1543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1.91</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太平村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1871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太平村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3550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团结村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1679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3.50</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农林村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1264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农林村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2785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5.27</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凤羊村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1521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凤光村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1555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4（2村合1）</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凤光村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2209</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3.02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真武桥村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654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1.70</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板冲村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1605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3.52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板冲村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4345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8.92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皂田村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1926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3.80</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羊叶村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814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1.60</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寿洲村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969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6（3村合1）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寿洲村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2843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6.14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新冲村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902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楼下村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972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2.59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山碧村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2106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4.84</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山碧村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2106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4.84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群建村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2089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5.00</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群建村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2089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5.00</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b/>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城背村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1130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城背村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1130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2.96</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亮</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源</w:t>
            </w:r>
          </w:p>
          <w:p>
            <w:pPr>
              <w:widowControl/>
              <w:spacing w:line="320" w:lineRule="exact"/>
              <w:ind w:firstLine="0" w:firstLineChars="0"/>
              <w:jc w:val="center"/>
              <w:rPr>
                <w:rFonts w:ascii="仿宋_GB2312" w:hAnsi="宋体" w:cs="宋体"/>
                <w:b/>
                <w:kern w:val="0"/>
                <w:sz w:val="21"/>
                <w:szCs w:val="21"/>
              </w:rPr>
            </w:pPr>
            <w:r>
              <w:rPr>
                <w:rFonts w:hint="eastAsia" w:ascii="仿宋_GB2312" w:hAnsi="宋体" w:cs="宋体"/>
                <w:b/>
                <w:kern w:val="0"/>
                <w:sz w:val="21"/>
                <w:szCs w:val="21"/>
              </w:rPr>
              <w:t>乡</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良坡村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2774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良坡村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4965</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28</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18.9</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培英村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2191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8.2</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积明村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2019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2（2村合1）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积明村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3199</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23</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15.4</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白马江村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1180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双丰村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2160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亮源桥村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4707</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32</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19.5</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齐心村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723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4.6</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合心村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755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4.9</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睦村村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1069</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3.3</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元明村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788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4.7</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4（4村合1）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关王村</w:t>
            </w:r>
          </w:p>
        </w:tc>
        <w:tc>
          <w:tcPr>
            <w:tcW w:w="9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3472</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w:t>
            </w:r>
          </w:p>
        </w:tc>
        <w:tc>
          <w:tcPr>
            <w:tcW w:w="9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19.2</w:t>
            </w:r>
          </w:p>
        </w:tc>
        <w:tc>
          <w:tcPr>
            <w:tcW w:w="8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湖岭村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878</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11</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余升村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834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3.8</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12</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岭上村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972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5.7</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864" w:type="dxa"/>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13</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观音村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2624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7.4</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观音村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2624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19</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7.4</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新民村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2016</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新民村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2016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6.2</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泉塘村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9.7</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泉塘村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2450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17</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9.7</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r>
        <w:tblPrEx>
          <w:tblCellMar>
            <w:top w:w="0" w:type="dxa"/>
            <w:left w:w="108" w:type="dxa"/>
            <w:bottom w:w="0" w:type="dxa"/>
            <w:right w:w="108" w:type="dxa"/>
          </w:tblCellMar>
        </w:tblPrEx>
        <w:trPr>
          <w:trHeight w:val="113" w:hRule="atLeast"/>
          <w:jc w:val="center"/>
        </w:trPr>
        <w:tc>
          <w:tcPr>
            <w:tcW w:w="817" w:type="dxa"/>
            <w:vMerge w:val="continue"/>
            <w:tcBorders>
              <w:top w:val="nil"/>
              <w:left w:val="single" w:color="auto" w:sz="4" w:space="0"/>
              <w:bottom w:val="single" w:color="000000" w:sz="4" w:space="0"/>
              <w:right w:val="single" w:color="auto" w:sz="4" w:space="0"/>
            </w:tcBorders>
            <w:vAlign w:val="center"/>
          </w:tcPr>
          <w:p>
            <w:pPr>
              <w:widowControl/>
              <w:spacing w:line="320" w:lineRule="exact"/>
              <w:ind w:firstLine="0" w:firstLineChars="0"/>
              <w:jc w:val="center"/>
              <w:rPr>
                <w:rFonts w:ascii="仿宋_GB2312" w:hAnsi="宋体" w:cs="宋体"/>
                <w:kern w:val="0"/>
                <w:sz w:val="21"/>
                <w:szCs w:val="21"/>
              </w:rPr>
            </w:pP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16</w:t>
            </w:r>
          </w:p>
        </w:tc>
        <w:tc>
          <w:tcPr>
            <w:tcW w:w="1418"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桐木村</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2033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7.9</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8</w:t>
            </w:r>
          </w:p>
        </w:tc>
        <w:tc>
          <w:tcPr>
            <w:tcW w:w="1417" w:type="dxa"/>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桐木村</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c>
          <w:tcPr>
            <w:tcW w:w="993"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2033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15</w:t>
            </w:r>
          </w:p>
        </w:tc>
        <w:tc>
          <w:tcPr>
            <w:tcW w:w="978"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7.9</w:t>
            </w:r>
          </w:p>
        </w:tc>
        <w:tc>
          <w:tcPr>
            <w:tcW w:w="864"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kern w:val="0"/>
                <w:sz w:val="21"/>
                <w:szCs w:val="21"/>
              </w:rPr>
            </w:pPr>
          </w:p>
        </w:tc>
      </w:tr>
    </w:tbl>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640"/>
        <w:rPr>
          <w:kern w:val="0"/>
          <w:sz w:val="32"/>
          <w:szCs w:val="44"/>
        </w:rPr>
        <w:sectPr>
          <w:pgSz w:w="16839" w:h="23814"/>
          <w:pgMar w:top="1797" w:right="1440" w:bottom="1797" w:left="1440" w:header="851" w:footer="992" w:gutter="0"/>
          <w:pgNumType w:start="25"/>
          <w:cols w:space="425" w:num="1"/>
          <w:docGrid w:type="lines" w:linePitch="381" w:charSpace="0"/>
        </w:sectPr>
      </w:pPr>
    </w:p>
    <w:p>
      <w:pPr>
        <w:pStyle w:val="21"/>
      </w:pPr>
      <w:bookmarkStart w:id="213" w:name="_Toc485040279"/>
      <w:r>
        <w:rPr>
          <w:rFonts w:hint="eastAsia"/>
        </w:rPr>
        <w:t>附表2</w:t>
      </w:r>
      <w:r>
        <w:t xml:space="preserve"> </w:t>
      </w:r>
      <w:r>
        <w:rPr>
          <w:rFonts w:hint="eastAsia"/>
        </w:rPr>
        <w:t xml:space="preserve"> 耒阳市乡（镇）主要规划控制指标</w:t>
      </w:r>
      <w:bookmarkEnd w:id="213"/>
    </w:p>
    <w:tbl>
      <w:tblPr>
        <w:tblStyle w:val="22"/>
        <w:tblW w:w="47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2"/>
        <w:gridCol w:w="1942"/>
        <w:gridCol w:w="1803"/>
        <w:gridCol w:w="1702"/>
        <w:gridCol w:w="1846"/>
        <w:gridCol w:w="1985"/>
        <w:gridCol w:w="1842"/>
        <w:gridCol w:w="2268"/>
        <w:gridCol w:w="1985"/>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24" w:type="pct"/>
            <w:shd w:val="clear" w:color="auto" w:fill="auto"/>
            <w:vAlign w:val="center"/>
          </w:tcPr>
          <w:p>
            <w:pPr>
              <w:widowControl/>
              <w:spacing w:line="240" w:lineRule="exact"/>
              <w:ind w:firstLine="0" w:firstLineChars="0"/>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行政区名称</w:t>
            </w:r>
          </w:p>
        </w:tc>
        <w:tc>
          <w:tcPr>
            <w:tcW w:w="501" w:type="pct"/>
            <w:shd w:val="clear" w:color="auto" w:fill="auto"/>
            <w:vAlign w:val="center"/>
          </w:tcPr>
          <w:p>
            <w:pPr>
              <w:widowControl/>
              <w:spacing w:line="240" w:lineRule="exact"/>
              <w:ind w:firstLine="0" w:firstLineChars="0"/>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耕地保有量目标（公顷）</w:t>
            </w:r>
          </w:p>
        </w:tc>
        <w:tc>
          <w:tcPr>
            <w:tcW w:w="465" w:type="pct"/>
            <w:shd w:val="clear" w:color="auto" w:fill="auto"/>
            <w:vAlign w:val="center"/>
          </w:tcPr>
          <w:p>
            <w:pPr>
              <w:widowControl/>
              <w:spacing w:line="240" w:lineRule="exact"/>
              <w:ind w:firstLine="0" w:firstLineChars="0"/>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基本农田保护目标（公顷）</w:t>
            </w:r>
          </w:p>
        </w:tc>
        <w:tc>
          <w:tcPr>
            <w:tcW w:w="439" w:type="pct"/>
            <w:shd w:val="clear" w:color="auto" w:fill="auto"/>
            <w:vAlign w:val="center"/>
          </w:tcPr>
          <w:p>
            <w:pPr>
              <w:widowControl/>
              <w:spacing w:line="240" w:lineRule="exact"/>
              <w:ind w:firstLine="0" w:firstLineChars="0"/>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建设用地总规模（公顷）</w:t>
            </w:r>
          </w:p>
        </w:tc>
        <w:tc>
          <w:tcPr>
            <w:tcW w:w="476" w:type="pct"/>
            <w:shd w:val="clear" w:color="auto" w:fill="auto"/>
            <w:vAlign w:val="center"/>
          </w:tcPr>
          <w:p>
            <w:pPr>
              <w:widowControl/>
              <w:spacing w:line="240" w:lineRule="exact"/>
              <w:ind w:firstLine="0" w:firstLineChars="0"/>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城乡建设用地规模（公顷）</w:t>
            </w:r>
          </w:p>
        </w:tc>
        <w:tc>
          <w:tcPr>
            <w:tcW w:w="512" w:type="pct"/>
            <w:shd w:val="clear" w:color="auto" w:fill="auto"/>
            <w:vAlign w:val="center"/>
          </w:tcPr>
          <w:p>
            <w:pPr>
              <w:widowControl/>
              <w:spacing w:line="240" w:lineRule="exact"/>
              <w:ind w:firstLine="0" w:firstLineChars="0"/>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城镇工矿用地规模（公顷）</w:t>
            </w:r>
          </w:p>
        </w:tc>
        <w:tc>
          <w:tcPr>
            <w:tcW w:w="475" w:type="pct"/>
            <w:shd w:val="clear" w:color="auto" w:fill="auto"/>
            <w:vAlign w:val="center"/>
          </w:tcPr>
          <w:p>
            <w:pPr>
              <w:widowControl/>
              <w:spacing w:line="240" w:lineRule="exact"/>
              <w:ind w:firstLine="0" w:firstLineChars="0"/>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新增建设用地规模（公顷）</w:t>
            </w:r>
          </w:p>
        </w:tc>
        <w:tc>
          <w:tcPr>
            <w:tcW w:w="585" w:type="pct"/>
            <w:shd w:val="clear" w:color="auto" w:fill="auto"/>
            <w:vAlign w:val="center"/>
          </w:tcPr>
          <w:p>
            <w:pPr>
              <w:widowControl/>
              <w:spacing w:line="240" w:lineRule="exact"/>
              <w:ind w:firstLine="0" w:firstLineChars="0"/>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新增建设占用农用地规模（公顷）</w:t>
            </w:r>
          </w:p>
        </w:tc>
        <w:tc>
          <w:tcPr>
            <w:tcW w:w="512" w:type="pct"/>
            <w:shd w:val="clear" w:color="auto" w:fill="auto"/>
            <w:vAlign w:val="center"/>
          </w:tcPr>
          <w:p>
            <w:pPr>
              <w:widowControl/>
              <w:spacing w:line="240" w:lineRule="exact"/>
              <w:ind w:firstLine="0" w:firstLineChars="0"/>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新增建设占用耕地规模（公顷）</w:t>
            </w:r>
          </w:p>
        </w:tc>
        <w:tc>
          <w:tcPr>
            <w:tcW w:w="511" w:type="pct"/>
            <w:shd w:val="clear" w:color="auto" w:fill="auto"/>
            <w:vAlign w:val="center"/>
          </w:tcPr>
          <w:p>
            <w:pPr>
              <w:widowControl/>
              <w:spacing w:line="240" w:lineRule="exact"/>
              <w:ind w:firstLine="0" w:firstLineChars="0"/>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补充耕地任务量（公顷）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24" w:type="pct"/>
            <w:shd w:val="clear" w:color="auto" w:fill="auto"/>
            <w:vAlign w:val="center"/>
          </w:tcPr>
          <w:p>
            <w:pPr>
              <w:widowControl/>
              <w:spacing w:line="240" w:lineRule="exact"/>
              <w:ind w:firstLine="0" w:firstLineChars="0"/>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耒阳合计</w:t>
            </w:r>
          </w:p>
        </w:tc>
        <w:tc>
          <w:tcPr>
            <w:tcW w:w="501" w:type="pct"/>
            <w:shd w:val="clear" w:color="auto" w:fill="auto"/>
            <w:noWrap/>
            <w:vAlign w:val="center"/>
          </w:tcPr>
          <w:p>
            <w:pPr>
              <w:widowControl/>
              <w:spacing w:line="240" w:lineRule="auto"/>
              <w:ind w:firstLine="0" w:firstLineChars="0"/>
              <w:jc w:val="center"/>
              <w:rPr>
                <w:rFonts w:eastAsia="宋体" w:cs="Times New Roman"/>
                <w:b/>
                <w:color w:val="000000"/>
                <w:kern w:val="0"/>
                <w:sz w:val="24"/>
                <w:szCs w:val="24"/>
              </w:rPr>
            </w:pPr>
            <w:r>
              <w:rPr>
                <w:rFonts w:eastAsia="宋体" w:cs="Times New Roman"/>
                <w:b/>
                <w:color w:val="000000"/>
                <w:kern w:val="0"/>
                <w:sz w:val="24"/>
                <w:szCs w:val="24"/>
              </w:rPr>
              <w:t>63420.00</w:t>
            </w:r>
          </w:p>
        </w:tc>
        <w:tc>
          <w:tcPr>
            <w:tcW w:w="465" w:type="pct"/>
            <w:shd w:val="clear" w:color="auto" w:fill="auto"/>
            <w:noWrap/>
            <w:vAlign w:val="center"/>
          </w:tcPr>
          <w:p>
            <w:pPr>
              <w:widowControl/>
              <w:spacing w:line="240" w:lineRule="auto"/>
              <w:ind w:firstLine="0" w:firstLineChars="0"/>
              <w:jc w:val="center"/>
              <w:rPr>
                <w:rFonts w:eastAsia="宋体" w:cs="Times New Roman"/>
                <w:b/>
                <w:color w:val="000000"/>
                <w:kern w:val="0"/>
                <w:sz w:val="24"/>
                <w:szCs w:val="24"/>
              </w:rPr>
            </w:pPr>
            <w:r>
              <w:rPr>
                <w:rFonts w:eastAsia="宋体" w:cs="Times New Roman"/>
                <w:b/>
                <w:color w:val="000000"/>
                <w:kern w:val="0"/>
                <w:sz w:val="24"/>
                <w:szCs w:val="24"/>
              </w:rPr>
              <w:t>53130.00</w:t>
            </w:r>
          </w:p>
        </w:tc>
        <w:tc>
          <w:tcPr>
            <w:tcW w:w="439" w:type="pct"/>
            <w:shd w:val="clear" w:color="auto" w:fill="auto"/>
            <w:noWrap/>
            <w:vAlign w:val="center"/>
          </w:tcPr>
          <w:p>
            <w:pPr>
              <w:widowControl/>
              <w:spacing w:line="240" w:lineRule="auto"/>
              <w:ind w:firstLine="0" w:firstLineChars="0"/>
              <w:jc w:val="center"/>
              <w:rPr>
                <w:rFonts w:eastAsia="宋体" w:cs="Times New Roman"/>
                <w:b/>
                <w:color w:val="000000"/>
                <w:kern w:val="0"/>
                <w:sz w:val="24"/>
                <w:szCs w:val="24"/>
              </w:rPr>
            </w:pPr>
            <w:r>
              <w:rPr>
                <w:rFonts w:eastAsia="宋体" w:cs="Times New Roman"/>
                <w:b/>
                <w:color w:val="000000"/>
                <w:kern w:val="0"/>
                <w:sz w:val="24"/>
                <w:szCs w:val="24"/>
              </w:rPr>
              <w:t>23407.79</w:t>
            </w:r>
          </w:p>
        </w:tc>
        <w:tc>
          <w:tcPr>
            <w:tcW w:w="476" w:type="pct"/>
            <w:shd w:val="clear" w:color="auto" w:fill="auto"/>
            <w:noWrap/>
            <w:vAlign w:val="center"/>
          </w:tcPr>
          <w:p>
            <w:pPr>
              <w:widowControl/>
              <w:spacing w:line="240" w:lineRule="auto"/>
              <w:ind w:firstLine="0" w:firstLineChars="0"/>
              <w:jc w:val="center"/>
              <w:rPr>
                <w:rFonts w:eastAsia="宋体" w:cs="Times New Roman"/>
                <w:b/>
                <w:color w:val="000000"/>
                <w:kern w:val="0"/>
                <w:sz w:val="24"/>
                <w:szCs w:val="24"/>
              </w:rPr>
            </w:pPr>
            <w:r>
              <w:rPr>
                <w:rFonts w:eastAsia="宋体" w:cs="Times New Roman"/>
                <w:b/>
                <w:color w:val="000000"/>
                <w:kern w:val="0"/>
                <w:sz w:val="24"/>
                <w:szCs w:val="24"/>
              </w:rPr>
              <w:t>19679.16</w:t>
            </w:r>
          </w:p>
        </w:tc>
        <w:tc>
          <w:tcPr>
            <w:tcW w:w="512" w:type="pct"/>
            <w:shd w:val="clear" w:color="auto" w:fill="auto"/>
            <w:noWrap/>
            <w:vAlign w:val="center"/>
          </w:tcPr>
          <w:p>
            <w:pPr>
              <w:widowControl/>
              <w:spacing w:line="240" w:lineRule="auto"/>
              <w:ind w:firstLine="0" w:firstLineChars="0"/>
              <w:jc w:val="center"/>
              <w:rPr>
                <w:rFonts w:eastAsia="宋体" w:cs="Times New Roman"/>
                <w:b/>
                <w:color w:val="000000"/>
                <w:kern w:val="0"/>
                <w:sz w:val="24"/>
                <w:szCs w:val="24"/>
              </w:rPr>
            </w:pPr>
            <w:r>
              <w:rPr>
                <w:rFonts w:eastAsia="宋体" w:cs="Times New Roman"/>
                <w:b/>
                <w:color w:val="000000"/>
                <w:kern w:val="0"/>
                <w:sz w:val="24"/>
                <w:szCs w:val="24"/>
              </w:rPr>
              <w:t>7806.45</w:t>
            </w:r>
          </w:p>
        </w:tc>
        <w:tc>
          <w:tcPr>
            <w:tcW w:w="475" w:type="pct"/>
            <w:shd w:val="clear" w:color="auto" w:fill="auto"/>
            <w:noWrap/>
            <w:vAlign w:val="center"/>
          </w:tcPr>
          <w:p>
            <w:pPr>
              <w:widowControl/>
              <w:spacing w:line="240" w:lineRule="auto"/>
              <w:ind w:firstLine="0" w:firstLineChars="0"/>
              <w:jc w:val="center"/>
              <w:rPr>
                <w:rFonts w:eastAsia="宋体" w:cs="Times New Roman"/>
                <w:b/>
                <w:color w:val="000000"/>
                <w:kern w:val="0"/>
                <w:sz w:val="24"/>
                <w:szCs w:val="24"/>
              </w:rPr>
            </w:pPr>
            <w:r>
              <w:rPr>
                <w:rFonts w:eastAsia="宋体" w:cs="Times New Roman"/>
                <w:b/>
                <w:color w:val="000000"/>
                <w:kern w:val="0"/>
                <w:sz w:val="24"/>
                <w:szCs w:val="24"/>
              </w:rPr>
              <w:t>6076.82</w:t>
            </w:r>
          </w:p>
        </w:tc>
        <w:tc>
          <w:tcPr>
            <w:tcW w:w="585" w:type="pct"/>
            <w:shd w:val="clear" w:color="auto" w:fill="auto"/>
            <w:noWrap/>
            <w:vAlign w:val="center"/>
          </w:tcPr>
          <w:p>
            <w:pPr>
              <w:widowControl/>
              <w:spacing w:line="240" w:lineRule="auto"/>
              <w:ind w:firstLine="0" w:firstLineChars="0"/>
              <w:jc w:val="center"/>
              <w:rPr>
                <w:rFonts w:eastAsia="宋体" w:cs="Times New Roman"/>
                <w:b/>
                <w:color w:val="000000"/>
                <w:kern w:val="0"/>
                <w:sz w:val="24"/>
                <w:szCs w:val="24"/>
              </w:rPr>
            </w:pPr>
            <w:r>
              <w:rPr>
                <w:rFonts w:eastAsia="宋体" w:cs="Times New Roman"/>
                <w:b/>
                <w:color w:val="000000"/>
                <w:kern w:val="0"/>
                <w:sz w:val="24"/>
                <w:szCs w:val="24"/>
              </w:rPr>
              <w:t>5706.54</w:t>
            </w:r>
          </w:p>
        </w:tc>
        <w:tc>
          <w:tcPr>
            <w:tcW w:w="512" w:type="pct"/>
            <w:shd w:val="clear" w:color="auto" w:fill="auto"/>
            <w:noWrap/>
            <w:vAlign w:val="center"/>
          </w:tcPr>
          <w:p>
            <w:pPr>
              <w:widowControl/>
              <w:spacing w:line="240" w:lineRule="auto"/>
              <w:ind w:firstLine="0" w:firstLineChars="0"/>
              <w:jc w:val="center"/>
              <w:rPr>
                <w:rFonts w:eastAsia="宋体" w:cs="Times New Roman"/>
                <w:b/>
                <w:color w:val="000000"/>
                <w:kern w:val="0"/>
                <w:sz w:val="24"/>
                <w:szCs w:val="24"/>
              </w:rPr>
            </w:pPr>
            <w:r>
              <w:rPr>
                <w:rFonts w:eastAsia="宋体" w:cs="Times New Roman"/>
                <w:b/>
                <w:color w:val="000000"/>
                <w:kern w:val="0"/>
                <w:sz w:val="24"/>
                <w:szCs w:val="24"/>
              </w:rPr>
              <w:t>2128.07</w:t>
            </w:r>
          </w:p>
        </w:tc>
        <w:tc>
          <w:tcPr>
            <w:tcW w:w="511" w:type="pct"/>
            <w:shd w:val="clear" w:color="auto" w:fill="auto"/>
            <w:noWrap/>
            <w:vAlign w:val="center"/>
          </w:tcPr>
          <w:p>
            <w:pPr>
              <w:widowControl/>
              <w:spacing w:line="240" w:lineRule="auto"/>
              <w:ind w:firstLine="0" w:firstLineChars="0"/>
              <w:jc w:val="center"/>
              <w:rPr>
                <w:rFonts w:eastAsia="宋体" w:cs="Times New Roman"/>
                <w:b/>
                <w:color w:val="000000"/>
                <w:kern w:val="0"/>
                <w:sz w:val="24"/>
                <w:szCs w:val="24"/>
              </w:rPr>
            </w:pPr>
            <w:r>
              <w:rPr>
                <w:rFonts w:eastAsia="宋体" w:cs="Times New Roman"/>
                <w:b/>
                <w:color w:val="000000"/>
                <w:kern w:val="0"/>
                <w:sz w:val="24"/>
                <w:szCs w:val="24"/>
              </w:rPr>
              <w:t>3103.86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noWrap/>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蔡子池街道</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0.00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969.81</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905.97</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905.97</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223.06</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211.98</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104.72</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noWrap/>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灶市街道</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1780.00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1430.00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1795.17</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1277.68</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663.23</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653.31</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602.75</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180.48</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noWrap/>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水东江街道</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2350.00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1760.00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1933.71</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1753.53</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1193.34</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674.18</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609.67</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263.10</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87.24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noWrap/>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五里牌街道</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200.00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30.00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1146.38</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1084.83</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920.73</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560.75</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515.32</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116.92</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noWrap/>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三架街道</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810.00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740.00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2018.43</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1964.07</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1730.35</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1368.74</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1275.57</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336.79</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noWrap/>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余庆街道</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3230.00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2445.00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1482.27</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1294.74</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671.86</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672.69</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642.04</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136.80</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新市镇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2350.00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2125.00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672.48</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594.97</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130.90</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87.01</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83.47</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60.07</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89.98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遥田镇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1570.00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1426.00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954.57</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455.66</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129.43</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195.74</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184.59</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93.57</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92.10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夏塘镇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1960.00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1660.00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425.81</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363.07</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32.10</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57.21</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56.30</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46.61</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76.03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南京镇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2110.00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1844.00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345.61</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275.98</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23.26</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52.08</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50.98</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32.22</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116.97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公平圩镇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2360.00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2037.00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786.18</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532.58</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53.92</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49.70</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48.77</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34.17</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黄市镇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980.00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666.00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585.92</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498.37</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154.41</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129.33</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121.04</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79.04</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小水镇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3440.00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2838.00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1169.24</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832.64</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234.23</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173.03</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165.59</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72.19</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136.63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哲桥镇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3140.00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2545.00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935.30</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770.23</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264.97</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210.66</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207.43</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85.38</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三都镇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2860.00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2127.00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697.87</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574.10</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147.19</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68.58</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62.48</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51.85</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永济镇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2080.00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1986.00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571.39</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482.92</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25.06</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50.25</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49.34</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37.51</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龙塘镇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1470.00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1093.00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385.94</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330.10</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56.06</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37.44</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36.17</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14.60</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大市镇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3460.00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2735.00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1103.47</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984.73</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248.25</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296.89</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289.85</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53.94</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148.74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淝田镇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1990.00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1795.00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348.35</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297.23</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14.33</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44.54</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39.42</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32.15</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南阳镇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1980.00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1500.00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542.81</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476.19</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64.40</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35.84</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34.62</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21.29</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94.92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仁义镇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2550.00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2375.00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455.83</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420.68</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14.44</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1.56</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1.60</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23.40</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138.25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导子镇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2490.00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2015.00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518.58</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447.98</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27.59</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53.97</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54.06</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30.80</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135.08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马水镇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3930.00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3649.00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870.98</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819.37</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24.95</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44.72</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41.54</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27.42</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东湖圩镇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2120.00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1583.00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594.17</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524.09</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17.52</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45.59</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45.24</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38.45</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118.94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大义镇</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1710.00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1490.00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445.48</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387.13</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22.28</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89.44</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84.54</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30.99</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92.92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大和圩乡</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2840.00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2516.00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520.25</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365.93</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14.73</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60.34</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53.68</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31.76</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145.87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坛下乡</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2120.00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1865.00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254.26</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213.74</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2.93</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35.66</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35.20</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28.52</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长坪乡</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2100.00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1746.00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307.67</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275.34</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8.65</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31.01</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31.04</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11.76</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太平圩乡</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1350.00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1059.00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211.50</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157.65</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2.24</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16.72</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15.90</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7.91</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71.99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24" w:type="pct"/>
            <w:shd w:val="clear" w:color="auto" w:fill="auto"/>
            <w:vAlign w:val="center"/>
          </w:tcPr>
          <w:p>
            <w:pPr>
              <w:widowControl/>
              <w:spacing w:line="240" w:lineRule="auto"/>
              <w:ind w:firstLine="0" w:firstLineChars="0"/>
              <w:jc w:val="center"/>
              <w:rPr>
                <w:rFonts w:ascii="仿宋_GB2312" w:hAnsi="宋体" w:cs="宋体"/>
                <w:color w:val="000000"/>
                <w:kern w:val="0"/>
                <w:sz w:val="24"/>
                <w:szCs w:val="24"/>
              </w:rPr>
            </w:pPr>
            <w:r>
              <w:rPr>
                <w:rFonts w:hint="eastAsia" w:ascii="仿宋_GB2312" w:hAnsi="宋体" w:cs="宋体"/>
                <w:color w:val="000000"/>
                <w:kern w:val="0"/>
                <w:sz w:val="24"/>
                <w:szCs w:val="24"/>
              </w:rPr>
              <w:t>亮源乡</w:t>
            </w:r>
          </w:p>
        </w:tc>
        <w:tc>
          <w:tcPr>
            <w:tcW w:w="50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2090.00</w:t>
            </w:r>
          </w:p>
        </w:tc>
        <w:tc>
          <w:tcPr>
            <w:tcW w:w="46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2050.00</w:t>
            </w:r>
          </w:p>
        </w:tc>
        <w:tc>
          <w:tcPr>
            <w:tcW w:w="439"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358.36</w:t>
            </w:r>
          </w:p>
        </w:tc>
        <w:tc>
          <w:tcPr>
            <w:tcW w:w="476"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317.66</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7.13</w:t>
            </w:r>
          </w:p>
        </w:tc>
        <w:tc>
          <w:tcPr>
            <w:tcW w:w="47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56.78</w:t>
            </w:r>
          </w:p>
        </w:tc>
        <w:tc>
          <w:tcPr>
            <w:tcW w:w="585"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56.36</w:t>
            </w:r>
          </w:p>
        </w:tc>
        <w:tc>
          <w:tcPr>
            <w:tcW w:w="512"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43.66</w:t>
            </w:r>
          </w:p>
        </w:tc>
        <w:tc>
          <w:tcPr>
            <w:tcW w:w="511" w:type="pct"/>
            <w:shd w:val="clear" w:color="auto" w:fill="auto"/>
            <w:noWrap/>
            <w:vAlign w:val="center"/>
          </w:tcPr>
          <w:p>
            <w:pPr>
              <w:widowControl/>
              <w:spacing w:line="240" w:lineRule="auto"/>
              <w:ind w:firstLine="0" w:firstLineChars="0"/>
              <w:jc w:val="center"/>
              <w:rPr>
                <w:rFonts w:eastAsia="宋体" w:cs="Times New Roman"/>
                <w:color w:val="000000"/>
                <w:kern w:val="0"/>
                <w:sz w:val="24"/>
                <w:szCs w:val="24"/>
              </w:rPr>
            </w:pPr>
            <w:r>
              <w:rPr>
                <w:rFonts w:eastAsia="宋体" w:cs="Times New Roman"/>
                <w:color w:val="000000"/>
                <w:kern w:val="0"/>
                <w:sz w:val="24"/>
                <w:szCs w:val="24"/>
              </w:rPr>
              <w:t>110.24</w:t>
            </w:r>
          </w:p>
        </w:tc>
      </w:tr>
    </w:tbl>
    <w:p>
      <w:pPr>
        <w:ind w:firstLine="560"/>
      </w:pPr>
    </w:p>
    <w:p>
      <w:pPr>
        <w:pStyle w:val="21"/>
      </w:pPr>
      <w:bookmarkStart w:id="214" w:name="_Toc485040280"/>
      <w:r>
        <w:rPr>
          <w:rFonts w:hint="eastAsia"/>
        </w:rPr>
        <w:t>附表3</w:t>
      </w:r>
      <w:r>
        <w:t xml:space="preserve"> </w:t>
      </w:r>
      <w:r>
        <w:rPr>
          <w:rFonts w:hint="eastAsia"/>
        </w:rPr>
        <w:t xml:space="preserve"> 耒阳市乡级规划调整完善成果指标汇总表</w:t>
      </w:r>
      <w:bookmarkEnd w:id="214"/>
    </w:p>
    <w:tbl>
      <w:tblPr>
        <w:tblStyle w:val="22"/>
        <w:tblW w:w="22393" w:type="dxa"/>
        <w:jc w:val="center"/>
        <w:tblLayout w:type="autofit"/>
        <w:tblCellMar>
          <w:top w:w="0" w:type="dxa"/>
          <w:left w:w="108" w:type="dxa"/>
          <w:bottom w:w="0" w:type="dxa"/>
          <w:right w:w="108" w:type="dxa"/>
        </w:tblCellMar>
      </w:tblPr>
      <w:tblGrid>
        <w:gridCol w:w="1116"/>
        <w:gridCol w:w="891"/>
        <w:gridCol w:w="891"/>
        <w:gridCol w:w="891"/>
        <w:gridCol w:w="891"/>
        <w:gridCol w:w="801"/>
        <w:gridCol w:w="801"/>
        <w:gridCol w:w="801"/>
        <w:gridCol w:w="801"/>
        <w:gridCol w:w="801"/>
        <w:gridCol w:w="801"/>
        <w:gridCol w:w="801"/>
        <w:gridCol w:w="711"/>
        <w:gridCol w:w="1116"/>
        <w:gridCol w:w="891"/>
        <w:gridCol w:w="891"/>
        <w:gridCol w:w="891"/>
        <w:gridCol w:w="891"/>
        <w:gridCol w:w="801"/>
        <w:gridCol w:w="801"/>
        <w:gridCol w:w="801"/>
        <w:gridCol w:w="801"/>
        <w:gridCol w:w="801"/>
        <w:gridCol w:w="801"/>
        <w:gridCol w:w="801"/>
        <w:gridCol w:w="711"/>
        <w:gridCol w:w="397"/>
      </w:tblGrid>
      <w:tr>
        <w:tblPrEx>
          <w:tblCellMar>
            <w:top w:w="0" w:type="dxa"/>
            <w:left w:w="108" w:type="dxa"/>
            <w:bottom w:w="0" w:type="dxa"/>
            <w:right w:w="108" w:type="dxa"/>
          </w:tblCellMar>
        </w:tblPrEx>
        <w:trPr>
          <w:trHeight w:val="274"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rPr>
                <w:rFonts w:ascii="仿宋_GB2312" w:hAnsi="宋体" w:cs="宋体"/>
                <w:b/>
                <w:bCs/>
                <w:kern w:val="0"/>
                <w:sz w:val="18"/>
                <w:szCs w:val="18"/>
              </w:rPr>
            </w:pPr>
            <w:r>
              <w:rPr>
                <w:rFonts w:hint="eastAsia" w:ascii="仿宋_GB2312" w:hAnsi="宋体" w:cs="宋体"/>
                <w:b/>
                <w:bCs/>
                <w:kern w:val="0"/>
                <w:sz w:val="18"/>
                <w:szCs w:val="18"/>
              </w:rPr>
              <w:t>现乡镇名称</w:t>
            </w:r>
          </w:p>
        </w:tc>
        <w:tc>
          <w:tcPr>
            <w:tcW w:w="0" w:type="auto"/>
            <w:gridSpan w:val="1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本轮调整完善规划指标（修改后）</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原乡镇名称（可拆分到村）</w:t>
            </w:r>
          </w:p>
        </w:tc>
        <w:tc>
          <w:tcPr>
            <w:tcW w:w="0" w:type="auto"/>
            <w:gridSpan w:val="1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调整完善前规划指标（修改前）</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备注</w:t>
            </w:r>
          </w:p>
        </w:tc>
      </w:tr>
      <w:tr>
        <w:tblPrEx>
          <w:tblCellMar>
            <w:top w:w="0" w:type="dxa"/>
            <w:left w:w="108" w:type="dxa"/>
            <w:bottom w:w="0" w:type="dxa"/>
            <w:right w:w="108" w:type="dxa"/>
          </w:tblCellMar>
        </w:tblPrEx>
        <w:trPr>
          <w:trHeight w:val="27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仿宋_GB2312" w:hAnsi="宋体" w:cs="宋体"/>
                <w:b/>
                <w:bCs/>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耕地保有量</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基本农田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建设用地总规模</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城乡建设用地规模</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城镇工矿用地规模</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交通水利用地规模</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其他建设用地规模</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新增建设用地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建设占用农用地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建设占用耕地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有条件建设区</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仿宋_GB2312" w:hAnsi="宋体" w:cs="宋体"/>
                <w:b/>
                <w:bCs/>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耕地保有量</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基本农田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建设用地总规模</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城乡建设用地规模</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城镇工矿用地规模</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交通水利用地规模</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其他建设用地规模</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新增建设用地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建设占用农用地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建设占用耕地</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有条件建设区</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r>
      <w:tr>
        <w:tblPrEx>
          <w:tblCellMar>
            <w:top w:w="0" w:type="dxa"/>
            <w:left w:w="108" w:type="dxa"/>
            <w:bottom w:w="0" w:type="dxa"/>
            <w:right w:w="108" w:type="dxa"/>
          </w:tblCellMar>
        </w:tblPrEx>
        <w:trPr>
          <w:trHeight w:val="79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32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　</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其中：城镇用地</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rFonts w:ascii="仿宋_GB2312" w:hAnsi="宋体" w:cs="宋体"/>
                <w:b/>
                <w:bCs/>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b/>
                <w:bCs/>
                <w:kern w:val="0"/>
                <w:sz w:val="18"/>
                <w:szCs w:val="18"/>
              </w:rPr>
            </w:pPr>
            <w:r>
              <w:rPr>
                <w:rFonts w:hint="eastAsia" w:ascii="仿宋_GB2312" w:hAnsi="宋体" w:cs="宋体"/>
                <w:b/>
                <w:bCs/>
                <w:kern w:val="0"/>
                <w:sz w:val="18"/>
                <w:szCs w:val="18"/>
              </w:rPr>
              <w:t>其中：城镇用地</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0" w:firstLineChars="0"/>
              <w:jc w:val="left"/>
              <w:rPr>
                <w:rFonts w:ascii="仿宋_GB2312" w:hAnsi="宋体" w:cs="宋体"/>
                <w:b/>
                <w:bCs/>
                <w:kern w:val="0"/>
                <w:sz w:val="18"/>
                <w:szCs w:val="18"/>
              </w:rPr>
            </w:pP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蔡子池街道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969.81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905.97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905.97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905.97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63.84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223.06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211.98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104.72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蔡子池街道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1010.61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946.77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946.77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946.58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63.84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260.78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248.62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117.66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灶市街道</w:t>
            </w:r>
            <w:r>
              <w:rPr>
                <w:rFonts w:hint="eastAsia" w:ascii="仿宋_GB2312" w:hAnsi="宋体" w:cs="宋体"/>
                <w:color w:val="333333"/>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1780.00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1430.00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1795.17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1277.68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663.23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626.80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118.56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398.93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653.31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602.75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180.48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灶市街道</w:t>
            </w:r>
            <w:r>
              <w:rPr>
                <w:rFonts w:hint="eastAsia" w:ascii="仿宋_GB2312" w:hAnsi="宋体" w:cs="宋体"/>
                <w:color w:val="333333"/>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1730.00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1110.00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1546.30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1250.74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902.38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709.37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119.26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176.30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394.77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362.94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176.21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246.65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水东江街道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2350.00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1760.00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1933.71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1753.53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1193.34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900.04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125.83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54.35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674.18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609.67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263.10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hint="eastAsia" w:eastAsia="宋体" w:cs="Times New Roman"/>
                <w:color w:val="000000"/>
                <w:kern w:val="0"/>
                <w:sz w:val="18"/>
                <w:szCs w:val="18"/>
              </w:rPr>
              <w:t>60.31</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水东江街道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2300.00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1378.00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1856.62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1679.59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1109.81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954.63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122.68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54.35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587.15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529.67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299.89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50.27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五里牌街道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1146.38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1084.83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920.73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919.90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53.26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8.29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560.75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515.32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116.92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117.86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五里牌街道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160.00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1353.15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1291.60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1128.27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1029.13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53.26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8.29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768.36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721.01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207.05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62.75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三架街道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810.00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740.00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2018.43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1964.07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1730.35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1678.65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40.41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13.95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1368.74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1275.57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336.79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134.66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三架街道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760.00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560.00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2134.69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2079.91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1861.83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967.29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40.41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14.37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1507.74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1414.32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339.40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余庆街道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3230.00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2445.00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1482.27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1294.74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671.86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643.47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114.74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72.79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672.69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642.04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136.80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20.09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余庆街道</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3189.00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2165.00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1367.42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1179.63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361.01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228.29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114.75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73.04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591.75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554.16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158.09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73.60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新市镇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2350.00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2125.00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672.48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594.97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130.90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81.48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68.83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8.68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87.01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83.47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60.07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24.97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新市镇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2319.00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2178.00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682.85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605.36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131.04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81.63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68.81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8.68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97.98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94.72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70.95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25.68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遥田镇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1570.00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1426.00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954.57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455.66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129.43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93.34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33.88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465.03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195.74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184.59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93.57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遥田镇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1560.00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1435.00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960.34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461.27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129.28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93.19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34.02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465.05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200.94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190.19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100.20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夏塘镇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1960.00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1660.00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425.81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363.07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32.10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23.38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32.63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30.11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57.21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56.30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46.61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2.58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夏塘镇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1930.00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1730.00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424.63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361.87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31.83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23.11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32.65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30.11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55.33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54.42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44.73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2.57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南京镇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2110.00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1844.00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345.61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275.98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23.26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0.48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34.83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34.80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52.08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50.98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32.22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南京镇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2098.00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1885.00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339.32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269.57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22.79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34.94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34.81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45.83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44.73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30.23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公平圩镇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2360.00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2037.00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786.18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532.58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53.92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5.38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221.74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31.86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49.70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48.77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34.17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9.27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公平圩镇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2348.00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2176.00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797.21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543.59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60.16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5.47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221.76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31.86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60.86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59.93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39.67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10.09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黄市镇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980.00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666.00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585.92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498.37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154.41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44.28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64.96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22.59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129.33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121.04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79.04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黄市镇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975.00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755.00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575.75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488.40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161.69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44.36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64.89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22.46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114.28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109.08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66.04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小水镇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3440.00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2838.00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1169.24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832.64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234.23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103.93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183.27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153.33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173.03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165.59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72.19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小水镇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3370.00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2990.00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1181.12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900.46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303.81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104.29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183.30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97.36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184.60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179.29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71.89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哲桥镇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3140.00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2545.00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935.30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770.23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264.97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141.68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132.21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32.86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210.66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207.43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85.38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64.33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哲桥镇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3088.00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2570.00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908.09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742.97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243.81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94.71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132.24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32.88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162.44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152.99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67.16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14.76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三都镇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2860.00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2127.00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697.87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574.10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147.19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42.42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27.84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95.93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68.58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62.48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51.85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三都镇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2834.00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2180.00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706.92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583.15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147.22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42.43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27.86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95.91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78.27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72.55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57.26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永济镇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2080.00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1986.00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571.39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482.92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25.06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18.94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12.28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76.19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50.25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49.34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37.51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永济镇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2045.00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1890.00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576.99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488.49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24.74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18.61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12.28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76.22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56.18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53.81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45.69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龙塘镇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1470.00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1093.00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385.94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330.10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56.06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24.34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28.65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27.19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37.44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36.17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14.60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龙塘镇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1438.00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1138.00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391.74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335.89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56.63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24.43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28.66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27.19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44.15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43.49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20.62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大市镇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3460.00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2735.00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1103.47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984.73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248.25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9.64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108.59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10.15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296.89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289.85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53.94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31.98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大市镇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3427.00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2602.00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1042.28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923.49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182.79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9.67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108.64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10.15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216.23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210.71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52.72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淝田镇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1990.00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1795.00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348.35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297.23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14.33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9.32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27.89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23.23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44.54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39.42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32.15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淝田镇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1970.00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1688.00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351.70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300.58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14.33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9.32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27.89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23.23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48.06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46.72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40.94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南阳镇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1980.00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1500.00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542.81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476.19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64.40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18.93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45.40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21.22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35.84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34.62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21.29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南阳镇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1932.00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1556.00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553.01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486.37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64.47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19.01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45.42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21.22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46.60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45.38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36.09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仁义镇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2550.00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2375.00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455.83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420.68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14.44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0.12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29.80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5.35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1.60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23.40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仁义镇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2519.00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2438.00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488.54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453.39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45.42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29.80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5.35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35.57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35.61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26.43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导子镇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2490.00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2015.00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518.58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447.98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27.59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40.62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29.98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53.97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54.06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30.80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导子镇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2455.00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2016.00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527.87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457.24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29.51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40.63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65.10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65.06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45.18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马水镇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3930.00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3649.00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870.98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819.37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24.95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0.17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44.84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6.77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44.72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41.54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27.42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马水镇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3876.00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3626.00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895.17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843.57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24.94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0.17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44.84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6.76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71.06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68.97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54.72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东湖圩镇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2120.00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1583.00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594.17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524.09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17.52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30.51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39.57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45.59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45.24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38.45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14.87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东湖圩镇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2112.00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1648.00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596.11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526.04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17.52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30.50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39.57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48.45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47.86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41.77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14.86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大义镇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1710.00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1490.00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445.48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387.13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22.28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26.13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32.22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89.44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84.54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30.99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10.45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大义镇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1687.00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1558.00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454.92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396.56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22.28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26.14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32.22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98.96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91.16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37.88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10.62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大和圩乡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2840.00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2516.00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520.25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365.93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14.73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104.70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49.62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60.34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53.68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31.76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大和圩乡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2814.00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2602.00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528.69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374.38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19.94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104.70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49.61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68.82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63.04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38.12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坛下乡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2120.00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1865.00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254.26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213.74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9.28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31.24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35.66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35.20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28.52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坛下乡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2095.00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1920.00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264.36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223.83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9.28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31.25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46.04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42.38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29.52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长坪乡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2100.00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1746.00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307.67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275.34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8.65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0.22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14.41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17.92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31.01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31.04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11.76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长坪乡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2065.00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1410.00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313.97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281.66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8.42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14.38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17.93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37.87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37.90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29.66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太平圩乡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1350.00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1059.00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211.50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157.65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0.20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23.81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30.04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16.72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15.90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7.91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太平圩乡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1313.00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1116.00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217.41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163.56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23.81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30.04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22.95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21.60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10.89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亮源乡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2090.00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2050.00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358.36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317.66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7.13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39.27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56.78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56.36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43.66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5.39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亮源乡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2058.00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2050.00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360.01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319.28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8.54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39.30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1.43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59.70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59.37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48.65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color w:val="000000"/>
                <w:kern w:val="0"/>
                <w:sz w:val="18"/>
                <w:szCs w:val="18"/>
              </w:rPr>
            </w:pPr>
            <w:r>
              <w:rPr>
                <w:rFonts w:eastAsia="宋体" w:cs="Times New Roman"/>
                <w:color w:val="000000"/>
                <w:kern w:val="0"/>
                <w:sz w:val="18"/>
                <w:szCs w:val="18"/>
              </w:rPr>
              <w:t xml:space="preserve">5.39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color w:val="000000"/>
                <w:kern w:val="0"/>
                <w:sz w:val="18"/>
                <w:szCs w:val="18"/>
              </w:rPr>
            </w:pPr>
            <w:r>
              <w:rPr>
                <w:rFonts w:hint="eastAsia" w:ascii="仿宋_GB2312" w:hAnsi="宋体" w:cs="宋体"/>
                <w:color w:val="000000"/>
                <w:kern w:val="0"/>
                <w:sz w:val="18"/>
                <w:szCs w:val="18"/>
              </w:rPr>
              <w:t>　</w:t>
            </w:r>
          </w:p>
        </w:tc>
      </w:tr>
      <w:tr>
        <w:tblPrEx>
          <w:tblCellMar>
            <w:top w:w="0" w:type="dxa"/>
            <w:left w:w="108" w:type="dxa"/>
            <w:bottom w:w="0" w:type="dxa"/>
            <w:right w:w="108" w:type="dxa"/>
          </w:tblCellMar>
        </w:tblPrEx>
        <w:trPr>
          <w:trHeight w:val="29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bCs/>
                <w:color w:val="000000"/>
                <w:kern w:val="0"/>
                <w:sz w:val="18"/>
                <w:szCs w:val="18"/>
              </w:rPr>
            </w:pPr>
            <w:r>
              <w:rPr>
                <w:rFonts w:hint="eastAsia" w:ascii="仿宋_GB2312" w:hAnsi="宋体" w:cs="宋体"/>
                <w:b/>
                <w:bCs/>
                <w:color w:val="000000"/>
                <w:kern w:val="0"/>
                <w:sz w:val="18"/>
                <w:szCs w:val="18"/>
              </w:rPr>
              <w:t>全市合计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color w:val="000000"/>
                <w:kern w:val="0"/>
                <w:sz w:val="18"/>
                <w:szCs w:val="18"/>
              </w:rPr>
            </w:pPr>
            <w:r>
              <w:rPr>
                <w:rFonts w:eastAsia="宋体" w:cs="Times New Roman"/>
                <w:b/>
                <w:color w:val="000000"/>
                <w:kern w:val="0"/>
                <w:sz w:val="18"/>
                <w:szCs w:val="18"/>
              </w:rPr>
              <w:t xml:space="preserve">63420.00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color w:val="000000"/>
                <w:kern w:val="0"/>
                <w:sz w:val="18"/>
                <w:szCs w:val="18"/>
              </w:rPr>
            </w:pPr>
            <w:r>
              <w:rPr>
                <w:rFonts w:eastAsia="宋体" w:cs="Times New Roman"/>
                <w:b/>
                <w:color w:val="000000"/>
                <w:kern w:val="0"/>
                <w:sz w:val="18"/>
                <w:szCs w:val="18"/>
              </w:rPr>
              <w:t xml:space="preserve">53130.00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color w:val="000000"/>
                <w:kern w:val="0"/>
                <w:sz w:val="18"/>
                <w:szCs w:val="18"/>
              </w:rPr>
            </w:pPr>
            <w:r>
              <w:rPr>
                <w:rFonts w:eastAsia="宋体" w:cs="Times New Roman"/>
                <w:b/>
                <w:color w:val="000000"/>
                <w:kern w:val="0"/>
                <w:sz w:val="18"/>
                <w:szCs w:val="18"/>
              </w:rPr>
              <w:t xml:space="preserve">23407.79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color w:val="000000"/>
                <w:kern w:val="0"/>
                <w:sz w:val="18"/>
                <w:szCs w:val="18"/>
              </w:rPr>
            </w:pPr>
            <w:r>
              <w:rPr>
                <w:rFonts w:eastAsia="宋体" w:cs="Times New Roman"/>
                <w:b/>
                <w:color w:val="000000"/>
                <w:kern w:val="0"/>
                <w:sz w:val="18"/>
                <w:szCs w:val="18"/>
              </w:rPr>
              <w:t xml:space="preserve">19679.16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color w:val="000000"/>
                <w:kern w:val="0"/>
                <w:sz w:val="18"/>
                <w:szCs w:val="18"/>
              </w:rPr>
            </w:pPr>
            <w:r>
              <w:rPr>
                <w:rFonts w:eastAsia="宋体" w:cs="Times New Roman"/>
                <w:b/>
                <w:color w:val="000000"/>
                <w:kern w:val="0"/>
                <w:sz w:val="18"/>
                <w:szCs w:val="18"/>
              </w:rPr>
              <w:t xml:space="preserve">7806.45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color w:val="000000"/>
                <w:kern w:val="0"/>
                <w:sz w:val="18"/>
                <w:szCs w:val="18"/>
              </w:rPr>
            </w:pPr>
            <w:r>
              <w:rPr>
                <w:rFonts w:eastAsia="宋体" w:cs="Times New Roman"/>
                <w:b/>
                <w:color w:val="000000"/>
                <w:kern w:val="0"/>
                <w:sz w:val="18"/>
                <w:szCs w:val="18"/>
              </w:rPr>
              <w:t xml:space="preserve">6296.02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color w:val="000000"/>
                <w:kern w:val="0"/>
                <w:sz w:val="18"/>
                <w:szCs w:val="18"/>
              </w:rPr>
            </w:pPr>
            <w:r>
              <w:rPr>
                <w:rFonts w:eastAsia="宋体" w:cs="Times New Roman"/>
                <w:b/>
                <w:color w:val="000000"/>
                <w:kern w:val="0"/>
                <w:sz w:val="18"/>
                <w:szCs w:val="18"/>
              </w:rPr>
              <w:t xml:space="preserve">1903.01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color w:val="000000"/>
                <w:kern w:val="0"/>
                <w:sz w:val="18"/>
                <w:szCs w:val="18"/>
              </w:rPr>
            </w:pPr>
            <w:r>
              <w:rPr>
                <w:rFonts w:eastAsia="宋体" w:cs="Times New Roman"/>
                <w:b/>
                <w:color w:val="000000"/>
                <w:kern w:val="0"/>
                <w:sz w:val="18"/>
                <w:szCs w:val="18"/>
              </w:rPr>
              <w:t xml:space="preserve">1825.62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color w:val="000000"/>
                <w:kern w:val="0"/>
                <w:sz w:val="18"/>
                <w:szCs w:val="18"/>
              </w:rPr>
            </w:pPr>
            <w:r>
              <w:rPr>
                <w:rFonts w:eastAsia="宋体" w:cs="Times New Roman"/>
                <w:b/>
                <w:color w:val="000000"/>
                <w:kern w:val="0"/>
                <w:sz w:val="18"/>
                <w:szCs w:val="18"/>
              </w:rPr>
              <w:t xml:space="preserve">6076.82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color w:val="000000"/>
                <w:kern w:val="0"/>
                <w:sz w:val="18"/>
                <w:szCs w:val="18"/>
              </w:rPr>
            </w:pPr>
            <w:r>
              <w:rPr>
                <w:rFonts w:eastAsia="宋体" w:cs="Times New Roman"/>
                <w:b/>
                <w:color w:val="000000"/>
                <w:kern w:val="0"/>
                <w:sz w:val="18"/>
                <w:szCs w:val="18"/>
              </w:rPr>
              <w:t xml:space="preserve">5706.54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color w:val="000000"/>
                <w:kern w:val="0"/>
                <w:sz w:val="18"/>
                <w:szCs w:val="18"/>
              </w:rPr>
            </w:pPr>
            <w:r>
              <w:rPr>
                <w:rFonts w:eastAsia="宋体" w:cs="Times New Roman"/>
                <w:b/>
                <w:color w:val="000000"/>
                <w:kern w:val="0"/>
                <w:sz w:val="18"/>
                <w:szCs w:val="18"/>
              </w:rPr>
              <w:t xml:space="preserve">2128.07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hint="eastAsia" w:eastAsia="宋体" w:cs="Times New Roman"/>
                <w:b/>
                <w:bCs/>
                <w:color w:val="000000"/>
                <w:kern w:val="0"/>
                <w:sz w:val="18"/>
                <w:szCs w:val="18"/>
              </w:rPr>
              <w:t>512.84</w:t>
            </w:r>
            <w:r>
              <w:rPr>
                <w:rFonts w:eastAsia="宋体" w:cs="Times New Roman"/>
                <w:b/>
                <w:bCs/>
                <w:color w:val="000000"/>
                <w:kern w:val="0"/>
                <w:sz w:val="18"/>
                <w:szCs w:val="18"/>
              </w:rPr>
              <w:t xml:space="preserve">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eastAsia="宋体" w:cs="Times New Roman"/>
                <w:b/>
                <w:bCs/>
                <w:color w:val="000000"/>
                <w:kern w:val="0"/>
                <w:sz w:val="18"/>
                <w:szCs w:val="18"/>
              </w:rPr>
              <w:t>全市合计</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eastAsia="宋体" w:cs="Times New Roman"/>
                <w:b/>
                <w:bCs/>
                <w:color w:val="000000"/>
                <w:kern w:val="0"/>
                <w:sz w:val="18"/>
                <w:szCs w:val="18"/>
              </w:rPr>
              <w:t xml:space="preserve">62467.00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eastAsia="宋体" w:cs="Times New Roman"/>
                <w:b/>
                <w:bCs/>
                <w:color w:val="000000"/>
                <w:kern w:val="0"/>
                <w:sz w:val="18"/>
                <w:szCs w:val="18"/>
              </w:rPr>
              <w:t xml:space="preserve">52450.00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eastAsia="宋体" w:cs="Times New Roman"/>
                <w:b/>
                <w:bCs/>
                <w:color w:val="000000"/>
                <w:kern w:val="0"/>
                <w:sz w:val="18"/>
                <w:szCs w:val="18"/>
              </w:rPr>
              <w:t xml:space="preserve">23407.79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eastAsia="宋体" w:cs="Times New Roman"/>
                <w:b/>
                <w:bCs/>
                <w:color w:val="000000"/>
                <w:kern w:val="0"/>
                <w:sz w:val="18"/>
                <w:szCs w:val="18"/>
              </w:rPr>
              <w:t xml:space="preserve">19959.21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eastAsia="宋体" w:cs="Times New Roman"/>
                <w:b/>
                <w:bCs/>
                <w:color w:val="000000"/>
                <w:kern w:val="0"/>
                <w:sz w:val="18"/>
                <w:szCs w:val="18"/>
              </w:rPr>
              <w:t xml:space="preserve">8066.53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eastAsia="宋体" w:cs="Times New Roman"/>
                <w:b/>
                <w:bCs/>
                <w:color w:val="000000"/>
                <w:kern w:val="0"/>
                <w:sz w:val="18"/>
                <w:szCs w:val="18"/>
              </w:rPr>
              <w:t xml:space="preserve">5408.63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eastAsia="宋体" w:cs="Times New Roman"/>
                <w:b/>
                <w:bCs/>
                <w:color w:val="000000"/>
                <w:kern w:val="0"/>
                <w:sz w:val="18"/>
                <w:szCs w:val="18"/>
              </w:rPr>
              <w:t xml:space="preserve">1900.94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eastAsia="宋体" w:cs="Times New Roman"/>
                <w:b/>
                <w:bCs/>
                <w:color w:val="000000"/>
                <w:kern w:val="0"/>
                <w:sz w:val="18"/>
                <w:szCs w:val="18"/>
              </w:rPr>
              <w:t xml:space="preserve">1547.64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eastAsia="宋体" w:cs="Times New Roman"/>
                <w:b/>
                <w:bCs/>
                <w:color w:val="000000"/>
                <w:kern w:val="0"/>
                <w:sz w:val="18"/>
                <w:szCs w:val="18"/>
              </w:rPr>
              <w:t xml:space="preserve">6076.82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eastAsia="宋体" w:cs="Times New Roman"/>
                <w:b/>
                <w:bCs/>
                <w:color w:val="000000"/>
                <w:kern w:val="0"/>
                <w:sz w:val="18"/>
                <w:szCs w:val="18"/>
              </w:rPr>
              <w:t xml:space="preserve">5721.68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eastAsia="宋体" w:cs="Times New Roman"/>
                <w:b/>
                <w:bCs/>
                <w:color w:val="000000"/>
                <w:kern w:val="0"/>
                <w:sz w:val="18"/>
                <w:szCs w:val="18"/>
              </w:rPr>
              <w:t xml:space="preserve">2405.31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eastAsia="宋体" w:cs="Times New Roman"/>
                <w:b/>
                <w:bCs/>
                <w:color w:val="000000"/>
                <w:kern w:val="0"/>
                <w:sz w:val="18"/>
                <w:szCs w:val="18"/>
              </w:rPr>
            </w:pPr>
            <w:r>
              <w:rPr>
                <w:rFonts w:eastAsia="宋体" w:cs="Times New Roman"/>
                <w:b/>
                <w:bCs/>
                <w:color w:val="000000"/>
                <w:kern w:val="0"/>
                <w:sz w:val="18"/>
                <w:szCs w:val="18"/>
              </w:rPr>
              <w:t xml:space="preserve">535.30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ind w:firstLine="0" w:firstLineChars="0"/>
              <w:jc w:val="center"/>
              <w:rPr>
                <w:rFonts w:ascii="仿宋_GB2312" w:hAnsi="宋体" w:cs="宋体"/>
                <w:b/>
                <w:bCs/>
                <w:color w:val="000000"/>
                <w:kern w:val="0"/>
                <w:sz w:val="18"/>
                <w:szCs w:val="18"/>
              </w:rPr>
            </w:pPr>
            <w:r>
              <w:rPr>
                <w:rFonts w:hint="eastAsia" w:ascii="仿宋_GB2312" w:hAnsi="宋体" w:cs="宋体"/>
                <w:b/>
                <w:bCs/>
                <w:color w:val="000000"/>
                <w:kern w:val="0"/>
                <w:sz w:val="18"/>
                <w:szCs w:val="18"/>
              </w:rPr>
              <w:t>　</w:t>
            </w:r>
          </w:p>
        </w:tc>
      </w:tr>
    </w:tbl>
    <w:p>
      <w:pPr>
        <w:widowControl/>
        <w:spacing w:line="240" w:lineRule="auto"/>
        <w:ind w:firstLine="0" w:firstLineChars="0"/>
        <w:jc w:val="left"/>
      </w:pPr>
    </w:p>
    <w:sectPr>
      <w:pgSz w:w="23814" w:h="16839" w:orient="landscape"/>
      <w:pgMar w:top="1440" w:right="1797" w:bottom="1440" w:left="1797" w:header="851" w:footer="992" w:gutter="0"/>
      <w:pgNumType w:start="37"/>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38103"/>
      <w:docPartObj>
        <w:docPartGallery w:val="AutoText"/>
      </w:docPartObj>
    </w:sdtPr>
    <w:sdtContent>
      <w:p>
        <w:pPr>
          <w:pStyle w:val="13"/>
          <w:ind w:firstLine="360"/>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right"/>
      <w:rPr>
        <w:rFonts w:ascii="宋体" w:hAnsi="宋体" w:eastAsia="宋体"/>
      </w:rPr>
    </w:pPr>
    <w:r>
      <w:rPr>
        <w:rFonts w:hint="eastAsia" w:ascii="宋体" w:hAnsi="宋体" w:eastAsia="宋体" w:cs="仿宋_GB2312"/>
        <w:kern w:val="0"/>
      </w:rPr>
      <w:t>耒阳市新市镇等24个乡级土地利用总体规划（</w:t>
    </w:r>
    <w:r>
      <w:rPr>
        <w:rFonts w:ascii="宋体" w:hAnsi="宋体" w:eastAsia="宋体" w:cs="仿宋_GB2312"/>
        <w:kern w:val="0"/>
      </w:rPr>
      <w:t>2006-2020</w:t>
    </w:r>
    <w:r>
      <w:rPr>
        <w:rFonts w:hint="eastAsia" w:ascii="宋体" w:hAnsi="宋体" w:eastAsia="宋体" w:cs="仿宋_GB2312"/>
        <w:kern w:val="0"/>
      </w:rPr>
      <w:t>年）</w:t>
    </w:r>
    <w:r>
      <w:rPr>
        <w:rFonts w:ascii="宋体" w:hAnsi="宋体" w:eastAsia="宋体" w:cs="仿宋_GB2312"/>
        <w:kern w:val="0"/>
      </w:rPr>
      <w:t>2016</w:t>
    </w:r>
    <w:r>
      <w:rPr>
        <w:rFonts w:hint="eastAsia" w:ascii="宋体" w:hAnsi="宋体" w:eastAsia="宋体" w:cs="仿宋_GB2312"/>
        <w:kern w:val="0"/>
      </w:rPr>
      <w:t>年调整完善方案</w:t>
    </w:r>
    <w:r>
      <w:rPr>
        <w:rFonts w:hint="eastAsia" w:ascii="宋体" w:hAnsi="宋体" w:eastAsia="宋体" w:cs="宋体"/>
        <w:kern w:val="0"/>
      </w:rPr>
      <w:t>•</w:t>
    </w:r>
    <w:r>
      <w:rPr>
        <w:rFonts w:hint="eastAsia" w:ascii="宋体" w:hAnsi="宋体" w:eastAsia="宋体" w:cs="仿宋_GB2312"/>
        <w:kern w:val="0"/>
      </w:rPr>
      <w:t>说明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M5MjUwYWE5YzhhZWNhNzVkOTJiOWVhYTg2NDljYmQifQ=="/>
  </w:docVars>
  <w:rsids>
    <w:rsidRoot w:val="00C9495A"/>
    <w:rsid w:val="000161C3"/>
    <w:rsid w:val="00027577"/>
    <w:rsid w:val="00032F93"/>
    <w:rsid w:val="00035511"/>
    <w:rsid w:val="000376DF"/>
    <w:rsid w:val="000449AB"/>
    <w:rsid w:val="00044EB2"/>
    <w:rsid w:val="00045E80"/>
    <w:rsid w:val="00061289"/>
    <w:rsid w:val="000617C6"/>
    <w:rsid w:val="00070B72"/>
    <w:rsid w:val="0007680A"/>
    <w:rsid w:val="0007715B"/>
    <w:rsid w:val="0008093C"/>
    <w:rsid w:val="000820F3"/>
    <w:rsid w:val="000837C7"/>
    <w:rsid w:val="000862AB"/>
    <w:rsid w:val="00087EF5"/>
    <w:rsid w:val="00091F18"/>
    <w:rsid w:val="0009295B"/>
    <w:rsid w:val="000930E9"/>
    <w:rsid w:val="000A7106"/>
    <w:rsid w:val="000B399D"/>
    <w:rsid w:val="000C00F7"/>
    <w:rsid w:val="000C322E"/>
    <w:rsid w:val="000C39AE"/>
    <w:rsid w:val="000C715A"/>
    <w:rsid w:val="000D07D4"/>
    <w:rsid w:val="000D1298"/>
    <w:rsid w:val="000D57FA"/>
    <w:rsid w:val="000E1BF5"/>
    <w:rsid w:val="00101259"/>
    <w:rsid w:val="00101860"/>
    <w:rsid w:val="00105238"/>
    <w:rsid w:val="00106E88"/>
    <w:rsid w:val="00107ED0"/>
    <w:rsid w:val="00114AF9"/>
    <w:rsid w:val="00122D04"/>
    <w:rsid w:val="001256B1"/>
    <w:rsid w:val="00125939"/>
    <w:rsid w:val="00126B32"/>
    <w:rsid w:val="001330B3"/>
    <w:rsid w:val="00135218"/>
    <w:rsid w:val="00137F30"/>
    <w:rsid w:val="001439DD"/>
    <w:rsid w:val="00146A3F"/>
    <w:rsid w:val="00163A97"/>
    <w:rsid w:val="00165177"/>
    <w:rsid w:val="00165377"/>
    <w:rsid w:val="0017317F"/>
    <w:rsid w:val="00191BE5"/>
    <w:rsid w:val="00194BCB"/>
    <w:rsid w:val="00194C24"/>
    <w:rsid w:val="00195764"/>
    <w:rsid w:val="001A2C95"/>
    <w:rsid w:val="001A39D0"/>
    <w:rsid w:val="001A5FC7"/>
    <w:rsid w:val="001A6536"/>
    <w:rsid w:val="001A79D6"/>
    <w:rsid w:val="001B0909"/>
    <w:rsid w:val="001B4AA7"/>
    <w:rsid w:val="001B7D9E"/>
    <w:rsid w:val="001C24F3"/>
    <w:rsid w:val="001C5FCA"/>
    <w:rsid w:val="001D7B4D"/>
    <w:rsid w:val="001E7733"/>
    <w:rsid w:val="001E7A5C"/>
    <w:rsid w:val="001F5321"/>
    <w:rsid w:val="002003E8"/>
    <w:rsid w:val="0021476B"/>
    <w:rsid w:val="00226DCF"/>
    <w:rsid w:val="002341A1"/>
    <w:rsid w:val="00235902"/>
    <w:rsid w:val="00250943"/>
    <w:rsid w:val="00252289"/>
    <w:rsid w:val="00253CC0"/>
    <w:rsid w:val="002727DA"/>
    <w:rsid w:val="00275D08"/>
    <w:rsid w:val="00283EFD"/>
    <w:rsid w:val="00283F17"/>
    <w:rsid w:val="00287332"/>
    <w:rsid w:val="0029444D"/>
    <w:rsid w:val="002A3F7E"/>
    <w:rsid w:val="002A7204"/>
    <w:rsid w:val="002B5A5B"/>
    <w:rsid w:val="002B66D0"/>
    <w:rsid w:val="002B7E2E"/>
    <w:rsid w:val="002D0958"/>
    <w:rsid w:val="002D788F"/>
    <w:rsid w:val="002E2387"/>
    <w:rsid w:val="002E4571"/>
    <w:rsid w:val="002E54F1"/>
    <w:rsid w:val="002E66DC"/>
    <w:rsid w:val="002E71D7"/>
    <w:rsid w:val="002F18CE"/>
    <w:rsid w:val="002F60CA"/>
    <w:rsid w:val="0030001C"/>
    <w:rsid w:val="003006A9"/>
    <w:rsid w:val="00305739"/>
    <w:rsid w:val="00314676"/>
    <w:rsid w:val="00316EFE"/>
    <w:rsid w:val="003237C4"/>
    <w:rsid w:val="00331650"/>
    <w:rsid w:val="00331DE4"/>
    <w:rsid w:val="003338F3"/>
    <w:rsid w:val="00334201"/>
    <w:rsid w:val="003347E7"/>
    <w:rsid w:val="003354EF"/>
    <w:rsid w:val="0034352D"/>
    <w:rsid w:val="0034504C"/>
    <w:rsid w:val="00346896"/>
    <w:rsid w:val="00353CD1"/>
    <w:rsid w:val="00360126"/>
    <w:rsid w:val="00365217"/>
    <w:rsid w:val="00372649"/>
    <w:rsid w:val="00373B2E"/>
    <w:rsid w:val="003773EC"/>
    <w:rsid w:val="0038008E"/>
    <w:rsid w:val="00381213"/>
    <w:rsid w:val="003829CA"/>
    <w:rsid w:val="00387692"/>
    <w:rsid w:val="003902FF"/>
    <w:rsid w:val="00390311"/>
    <w:rsid w:val="00394AFF"/>
    <w:rsid w:val="003A34A7"/>
    <w:rsid w:val="003A3821"/>
    <w:rsid w:val="003B57FB"/>
    <w:rsid w:val="003B6116"/>
    <w:rsid w:val="003C66B0"/>
    <w:rsid w:val="003D22A5"/>
    <w:rsid w:val="003E1891"/>
    <w:rsid w:val="003E7B90"/>
    <w:rsid w:val="003F4CB7"/>
    <w:rsid w:val="004065C7"/>
    <w:rsid w:val="0041419E"/>
    <w:rsid w:val="00415A0E"/>
    <w:rsid w:val="00427AC4"/>
    <w:rsid w:val="00427D6A"/>
    <w:rsid w:val="00430C82"/>
    <w:rsid w:val="0043597B"/>
    <w:rsid w:val="00440E62"/>
    <w:rsid w:val="00455E26"/>
    <w:rsid w:val="004608A4"/>
    <w:rsid w:val="00480E61"/>
    <w:rsid w:val="0048251B"/>
    <w:rsid w:val="00482A36"/>
    <w:rsid w:val="004A0275"/>
    <w:rsid w:val="004A626A"/>
    <w:rsid w:val="004B0AF0"/>
    <w:rsid w:val="004B4FA3"/>
    <w:rsid w:val="004C44D6"/>
    <w:rsid w:val="004D230A"/>
    <w:rsid w:val="004D7DD6"/>
    <w:rsid w:val="004E3B38"/>
    <w:rsid w:val="004F25D0"/>
    <w:rsid w:val="004F42AD"/>
    <w:rsid w:val="004F52E8"/>
    <w:rsid w:val="00503F4E"/>
    <w:rsid w:val="00510914"/>
    <w:rsid w:val="005142E7"/>
    <w:rsid w:val="00515D65"/>
    <w:rsid w:val="00524D55"/>
    <w:rsid w:val="0053142B"/>
    <w:rsid w:val="00541459"/>
    <w:rsid w:val="00541A22"/>
    <w:rsid w:val="00543B09"/>
    <w:rsid w:val="00545A2B"/>
    <w:rsid w:val="00546F78"/>
    <w:rsid w:val="00547B6D"/>
    <w:rsid w:val="00560864"/>
    <w:rsid w:val="00560E04"/>
    <w:rsid w:val="00563810"/>
    <w:rsid w:val="0056658D"/>
    <w:rsid w:val="00567F56"/>
    <w:rsid w:val="00573840"/>
    <w:rsid w:val="00575E43"/>
    <w:rsid w:val="00584B17"/>
    <w:rsid w:val="00587AEC"/>
    <w:rsid w:val="00591A56"/>
    <w:rsid w:val="005950CC"/>
    <w:rsid w:val="005A2628"/>
    <w:rsid w:val="005A5B11"/>
    <w:rsid w:val="005D1F0D"/>
    <w:rsid w:val="005D7C33"/>
    <w:rsid w:val="005E57E2"/>
    <w:rsid w:val="006012CE"/>
    <w:rsid w:val="00606E91"/>
    <w:rsid w:val="00610011"/>
    <w:rsid w:val="006157DA"/>
    <w:rsid w:val="00620C21"/>
    <w:rsid w:val="006226A6"/>
    <w:rsid w:val="006254AF"/>
    <w:rsid w:val="0062601F"/>
    <w:rsid w:val="00626D73"/>
    <w:rsid w:val="0063008E"/>
    <w:rsid w:val="006372CC"/>
    <w:rsid w:val="00641D7A"/>
    <w:rsid w:val="00643806"/>
    <w:rsid w:val="00646082"/>
    <w:rsid w:val="00646FFB"/>
    <w:rsid w:val="00650B05"/>
    <w:rsid w:val="00650D1C"/>
    <w:rsid w:val="00654917"/>
    <w:rsid w:val="00657943"/>
    <w:rsid w:val="00657B78"/>
    <w:rsid w:val="006652FA"/>
    <w:rsid w:val="00670227"/>
    <w:rsid w:val="00674EBE"/>
    <w:rsid w:val="00681163"/>
    <w:rsid w:val="0068434C"/>
    <w:rsid w:val="006926A0"/>
    <w:rsid w:val="00692DE3"/>
    <w:rsid w:val="0069401F"/>
    <w:rsid w:val="006A3A96"/>
    <w:rsid w:val="006B09F0"/>
    <w:rsid w:val="006B4984"/>
    <w:rsid w:val="006B62FD"/>
    <w:rsid w:val="006B7BE0"/>
    <w:rsid w:val="006C041A"/>
    <w:rsid w:val="006C2462"/>
    <w:rsid w:val="006C2EDA"/>
    <w:rsid w:val="006C6D25"/>
    <w:rsid w:val="006D2D99"/>
    <w:rsid w:val="006D58B1"/>
    <w:rsid w:val="006D731A"/>
    <w:rsid w:val="006E08B0"/>
    <w:rsid w:val="006E70C5"/>
    <w:rsid w:val="00700FFD"/>
    <w:rsid w:val="00702BA0"/>
    <w:rsid w:val="0071177E"/>
    <w:rsid w:val="00712084"/>
    <w:rsid w:val="007130C4"/>
    <w:rsid w:val="00734C25"/>
    <w:rsid w:val="00734C33"/>
    <w:rsid w:val="00735D00"/>
    <w:rsid w:val="00740161"/>
    <w:rsid w:val="007414DD"/>
    <w:rsid w:val="007449EA"/>
    <w:rsid w:val="0074786C"/>
    <w:rsid w:val="00750DF8"/>
    <w:rsid w:val="007512D5"/>
    <w:rsid w:val="0075297F"/>
    <w:rsid w:val="00761996"/>
    <w:rsid w:val="007672D1"/>
    <w:rsid w:val="007704EB"/>
    <w:rsid w:val="007746CD"/>
    <w:rsid w:val="00776BC5"/>
    <w:rsid w:val="007770E2"/>
    <w:rsid w:val="00777924"/>
    <w:rsid w:val="007A542B"/>
    <w:rsid w:val="007C52CA"/>
    <w:rsid w:val="007E14C0"/>
    <w:rsid w:val="007E1A4C"/>
    <w:rsid w:val="007E37AF"/>
    <w:rsid w:val="007E5003"/>
    <w:rsid w:val="007F33DA"/>
    <w:rsid w:val="00801C13"/>
    <w:rsid w:val="00805DBB"/>
    <w:rsid w:val="008117E2"/>
    <w:rsid w:val="00813747"/>
    <w:rsid w:val="008148EF"/>
    <w:rsid w:val="008477EB"/>
    <w:rsid w:val="00854ED4"/>
    <w:rsid w:val="0086179D"/>
    <w:rsid w:val="00871E79"/>
    <w:rsid w:val="00874F54"/>
    <w:rsid w:val="00881DD0"/>
    <w:rsid w:val="00884440"/>
    <w:rsid w:val="008A2923"/>
    <w:rsid w:val="008A6DC9"/>
    <w:rsid w:val="008A769A"/>
    <w:rsid w:val="008B1812"/>
    <w:rsid w:val="008C101E"/>
    <w:rsid w:val="008C314C"/>
    <w:rsid w:val="008F1D35"/>
    <w:rsid w:val="00902952"/>
    <w:rsid w:val="00903243"/>
    <w:rsid w:val="009034C4"/>
    <w:rsid w:val="00905C11"/>
    <w:rsid w:val="009113DA"/>
    <w:rsid w:val="0091225A"/>
    <w:rsid w:val="00912C3D"/>
    <w:rsid w:val="00921745"/>
    <w:rsid w:val="00926314"/>
    <w:rsid w:val="00936CE3"/>
    <w:rsid w:val="009372F3"/>
    <w:rsid w:val="0094471F"/>
    <w:rsid w:val="00947E88"/>
    <w:rsid w:val="009521EF"/>
    <w:rsid w:val="0095404E"/>
    <w:rsid w:val="00962353"/>
    <w:rsid w:val="00962CB6"/>
    <w:rsid w:val="0096517C"/>
    <w:rsid w:val="00972323"/>
    <w:rsid w:val="009811B6"/>
    <w:rsid w:val="0098562D"/>
    <w:rsid w:val="00987288"/>
    <w:rsid w:val="00987869"/>
    <w:rsid w:val="00990107"/>
    <w:rsid w:val="009912AD"/>
    <w:rsid w:val="00995A5C"/>
    <w:rsid w:val="009A1ADF"/>
    <w:rsid w:val="009A1DBF"/>
    <w:rsid w:val="009A42BF"/>
    <w:rsid w:val="009B78DA"/>
    <w:rsid w:val="009B7C4C"/>
    <w:rsid w:val="009C0A05"/>
    <w:rsid w:val="009C4070"/>
    <w:rsid w:val="009D508E"/>
    <w:rsid w:val="009D6DCF"/>
    <w:rsid w:val="009E0200"/>
    <w:rsid w:val="009E2F19"/>
    <w:rsid w:val="009E3C11"/>
    <w:rsid w:val="009E45A0"/>
    <w:rsid w:val="009E569B"/>
    <w:rsid w:val="009F0986"/>
    <w:rsid w:val="00A009E7"/>
    <w:rsid w:val="00A05CC4"/>
    <w:rsid w:val="00A14829"/>
    <w:rsid w:val="00A14F73"/>
    <w:rsid w:val="00A241E0"/>
    <w:rsid w:val="00A24353"/>
    <w:rsid w:val="00A31F8D"/>
    <w:rsid w:val="00A34537"/>
    <w:rsid w:val="00A346AE"/>
    <w:rsid w:val="00A35A94"/>
    <w:rsid w:val="00A44434"/>
    <w:rsid w:val="00A4730E"/>
    <w:rsid w:val="00A479CF"/>
    <w:rsid w:val="00A61A95"/>
    <w:rsid w:val="00A61C83"/>
    <w:rsid w:val="00A67749"/>
    <w:rsid w:val="00A77CEF"/>
    <w:rsid w:val="00A81CDF"/>
    <w:rsid w:val="00A839D0"/>
    <w:rsid w:val="00A841F3"/>
    <w:rsid w:val="00A84DBD"/>
    <w:rsid w:val="00A924F8"/>
    <w:rsid w:val="00AA1E50"/>
    <w:rsid w:val="00AA2050"/>
    <w:rsid w:val="00AA3926"/>
    <w:rsid w:val="00AA5D95"/>
    <w:rsid w:val="00AB0AA1"/>
    <w:rsid w:val="00AB7369"/>
    <w:rsid w:val="00AC3DFB"/>
    <w:rsid w:val="00AC3F09"/>
    <w:rsid w:val="00AD5BAD"/>
    <w:rsid w:val="00AF2DF3"/>
    <w:rsid w:val="00AF3CCB"/>
    <w:rsid w:val="00B00973"/>
    <w:rsid w:val="00B112FF"/>
    <w:rsid w:val="00B1401B"/>
    <w:rsid w:val="00B14E47"/>
    <w:rsid w:val="00B15973"/>
    <w:rsid w:val="00B15FD5"/>
    <w:rsid w:val="00B20A8F"/>
    <w:rsid w:val="00B20D20"/>
    <w:rsid w:val="00B24892"/>
    <w:rsid w:val="00B24C73"/>
    <w:rsid w:val="00B276BE"/>
    <w:rsid w:val="00B31055"/>
    <w:rsid w:val="00B5184E"/>
    <w:rsid w:val="00B51CBA"/>
    <w:rsid w:val="00B557BC"/>
    <w:rsid w:val="00B62BF6"/>
    <w:rsid w:val="00B65397"/>
    <w:rsid w:val="00B703F9"/>
    <w:rsid w:val="00B800B7"/>
    <w:rsid w:val="00B8223C"/>
    <w:rsid w:val="00B82724"/>
    <w:rsid w:val="00B87033"/>
    <w:rsid w:val="00B94B21"/>
    <w:rsid w:val="00BA7FF3"/>
    <w:rsid w:val="00BB63E1"/>
    <w:rsid w:val="00BD49E6"/>
    <w:rsid w:val="00BE0E28"/>
    <w:rsid w:val="00BE3809"/>
    <w:rsid w:val="00BE4EED"/>
    <w:rsid w:val="00BE5583"/>
    <w:rsid w:val="00BF1390"/>
    <w:rsid w:val="00BF22F1"/>
    <w:rsid w:val="00BF391C"/>
    <w:rsid w:val="00BF7F00"/>
    <w:rsid w:val="00C00410"/>
    <w:rsid w:val="00C03F0E"/>
    <w:rsid w:val="00C040C0"/>
    <w:rsid w:val="00C14A82"/>
    <w:rsid w:val="00C174A8"/>
    <w:rsid w:val="00C20440"/>
    <w:rsid w:val="00C60A7D"/>
    <w:rsid w:val="00C648A1"/>
    <w:rsid w:val="00C72B16"/>
    <w:rsid w:val="00C74C4B"/>
    <w:rsid w:val="00C77067"/>
    <w:rsid w:val="00C802DB"/>
    <w:rsid w:val="00C82CB1"/>
    <w:rsid w:val="00C93753"/>
    <w:rsid w:val="00C9495A"/>
    <w:rsid w:val="00C96BDD"/>
    <w:rsid w:val="00CA09D7"/>
    <w:rsid w:val="00CA16C9"/>
    <w:rsid w:val="00CC2650"/>
    <w:rsid w:val="00CD0ACD"/>
    <w:rsid w:val="00CD2289"/>
    <w:rsid w:val="00CD5359"/>
    <w:rsid w:val="00CD5881"/>
    <w:rsid w:val="00CD7237"/>
    <w:rsid w:val="00CE5759"/>
    <w:rsid w:val="00CF0B06"/>
    <w:rsid w:val="00CF59D6"/>
    <w:rsid w:val="00D06F1D"/>
    <w:rsid w:val="00D14D3C"/>
    <w:rsid w:val="00D37215"/>
    <w:rsid w:val="00D42D52"/>
    <w:rsid w:val="00D507D1"/>
    <w:rsid w:val="00D5779F"/>
    <w:rsid w:val="00D62745"/>
    <w:rsid w:val="00D62B31"/>
    <w:rsid w:val="00D71C14"/>
    <w:rsid w:val="00D72EB4"/>
    <w:rsid w:val="00D82341"/>
    <w:rsid w:val="00D87EBD"/>
    <w:rsid w:val="00DA03D5"/>
    <w:rsid w:val="00DA608B"/>
    <w:rsid w:val="00DC3581"/>
    <w:rsid w:val="00DD143E"/>
    <w:rsid w:val="00DD5AF4"/>
    <w:rsid w:val="00DE490E"/>
    <w:rsid w:val="00DF209B"/>
    <w:rsid w:val="00DF28A8"/>
    <w:rsid w:val="00E02554"/>
    <w:rsid w:val="00E0359F"/>
    <w:rsid w:val="00E14A6A"/>
    <w:rsid w:val="00E21AB3"/>
    <w:rsid w:val="00E27D53"/>
    <w:rsid w:val="00E3365F"/>
    <w:rsid w:val="00E553DC"/>
    <w:rsid w:val="00E57842"/>
    <w:rsid w:val="00E600B8"/>
    <w:rsid w:val="00E73E99"/>
    <w:rsid w:val="00E84607"/>
    <w:rsid w:val="00E84983"/>
    <w:rsid w:val="00E85198"/>
    <w:rsid w:val="00E859AE"/>
    <w:rsid w:val="00E86AA4"/>
    <w:rsid w:val="00EB1425"/>
    <w:rsid w:val="00EC30F2"/>
    <w:rsid w:val="00ED307C"/>
    <w:rsid w:val="00ED761D"/>
    <w:rsid w:val="00ED7FDA"/>
    <w:rsid w:val="00EF2A8A"/>
    <w:rsid w:val="00F02D02"/>
    <w:rsid w:val="00F1466F"/>
    <w:rsid w:val="00F14EEC"/>
    <w:rsid w:val="00F1744D"/>
    <w:rsid w:val="00F2539B"/>
    <w:rsid w:val="00F264B0"/>
    <w:rsid w:val="00F303A8"/>
    <w:rsid w:val="00F43103"/>
    <w:rsid w:val="00F44DDB"/>
    <w:rsid w:val="00F45DCA"/>
    <w:rsid w:val="00F64116"/>
    <w:rsid w:val="00F77C89"/>
    <w:rsid w:val="00F81A61"/>
    <w:rsid w:val="00F93FE3"/>
    <w:rsid w:val="00F95509"/>
    <w:rsid w:val="00FA05D1"/>
    <w:rsid w:val="00FA0F8E"/>
    <w:rsid w:val="00FA247F"/>
    <w:rsid w:val="00FB4BA2"/>
    <w:rsid w:val="00FC05AB"/>
    <w:rsid w:val="00FC6395"/>
    <w:rsid w:val="00FC7150"/>
    <w:rsid w:val="00FD79C4"/>
    <w:rsid w:val="00FE1BD1"/>
    <w:rsid w:val="00FE52F6"/>
    <w:rsid w:val="00FE7AEE"/>
    <w:rsid w:val="00FF048E"/>
    <w:rsid w:val="00FF3F5C"/>
    <w:rsid w:val="3D925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Times New Roman" w:hAnsi="Times New Roman" w:eastAsia="仿宋_GB2312" w:cstheme="minorBidi"/>
      <w:kern w:val="2"/>
      <w:sz w:val="28"/>
      <w:szCs w:val="22"/>
      <w:lang w:val="en-US" w:eastAsia="zh-CN" w:bidi="ar-SA"/>
    </w:rPr>
  </w:style>
  <w:style w:type="paragraph" w:styleId="2">
    <w:name w:val="heading 1"/>
    <w:basedOn w:val="1"/>
    <w:next w:val="1"/>
    <w:link w:val="33"/>
    <w:qFormat/>
    <w:uiPriority w:val="9"/>
    <w:pPr>
      <w:keepNext/>
      <w:keepLines/>
      <w:spacing w:line="520" w:lineRule="atLeast"/>
      <w:ind w:firstLine="0" w:firstLineChars="0"/>
      <w:jc w:val="center"/>
      <w:outlineLvl w:val="0"/>
    </w:pPr>
    <w:rPr>
      <w:rFonts w:eastAsia="黑体"/>
      <w:b/>
      <w:bCs/>
      <w:kern w:val="44"/>
      <w:sz w:val="32"/>
      <w:szCs w:val="44"/>
    </w:rPr>
  </w:style>
  <w:style w:type="paragraph" w:styleId="3">
    <w:name w:val="heading 2"/>
    <w:basedOn w:val="1"/>
    <w:next w:val="1"/>
    <w:link w:val="34"/>
    <w:unhideWhenUsed/>
    <w:qFormat/>
    <w:uiPriority w:val="9"/>
    <w:pPr>
      <w:keepNext/>
      <w:keepLines/>
      <w:spacing w:line="520" w:lineRule="atLeast"/>
      <w:jc w:val="center"/>
      <w:outlineLvl w:val="1"/>
    </w:pPr>
    <w:rPr>
      <w:rFonts w:eastAsia="宋体" w:cstheme="majorBidi"/>
      <w:b/>
      <w:bCs/>
      <w:sz w:val="30"/>
      <w:szCs w:val="32"/>
    </w:rPr>
  </w:style>
  <w:style w:type="paragraph" w:styleId="4">
    <w:name w:val="heading 3"/>
    <w:basedOn w:val="1"/>
    <w:next w:val="1"/>
    <w:link w:val="35"/>
    <w:unhideWhenUsed/>
    <w:qFormat/>
    <w:uiPriority w:val="9"/>
    <w:pPr>
      <w:keepNext/>
      <w:keepLines/>
      <w:spacing w:line="520" w:lineRule="atLeast"/>
      <w:jc w:val="left"/>
      <w:outlineLvl w:val="2"/>
    </w:pPr>
    <w:rPr>
      <w:b/>
      <w:bCs/>
      <w:szCs w:val="32"/>
    </w:rPr>
  </w:style>
  <w:style w:type="paragraph" w:styleId="5">
    <w:name w:val="heading 4"/>
    <w:basedOn w:val="1"/>
    <w:next w:val="1"/>
    <w:link w:val="36"/>
    <w:unhideWhenUsed/>
    <w:qFormat/>
    <w:uiPriority w:val="9"/>
    <w:pPr>
      <w:keepNext/>
      <w:keepLines/>
      <w:spacing w:line="520" w:lineRule="atLeast"/>
      <w:ind w:firstLine="0" w:firstLineChars="0"/>
      <w:jc w:val="center"/>
      <w:outlineLvl w:val="3"/>
    </w:pPr>
    <w:rPr>
      <w:rFonts w:cstheme="majorBidi"/>
      <w:b/>
      <w:bCs/>
      <w:sz w:val="24"/>
      <w:szCs w:val="28"/>
    </w:rPr>
  </w:style>
  <w:style w:type="paragraph" w:styleId="6">
    <w:name w:val="heading 5"/>
    <w:basedOn w:val="1"/>
    <w:next w:val="1"/>
    <w:link w:val="77"/>
    <w:unhideWhenUsed/>
    <w:qFormat/>
    <w:uiPriority w:val="9"/>
    <w:pPr>
      <w:keepNext/>
      <w:keepLines/>
      <w:spacing w:before="280" w:after="290" w:line="376" w:lineRule="auto"/>
      <w:ind w:firstLine="0" w:firstLineChars="0"/>
      <w:outlineLvl w:val="4"/>
    </w:pPr>
    <w:rPr>
      <w:rFonts w:asciiTheme="minorHAnsi" w:hAnsiTheme="minorHAnsi" w:eastAsiaTheme="minorEastAsia"/>
      <w:b/>
      <w:bCs/>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680"/>
      <w:jc w:val="left"/>
    </w:pPr>
    <w:rPr>
      <w:rFonts w:asciiTheme="minorHAnsi" w:hAnsiTheme="minorHAnsi"/>
      <w:sz w:val="18"/>
      <w:szCs w:val="18"/>
    </w:rPr>
  </w:style>
  <w:style w:type="paragraph" w:styleId="8">
    <w:name w:val="Document Map"/>
    <w:basedOn w:val="1"/>
    <w:link w:val="32"/>
    <w:semiHidden/>
    <w:unhideWhenUsed/>
    <w:qFormat/>
    <w:uiPriority w:val="99"/>
    <w:rPr>
      <w:rFonts w:ascii="宋体" w:eastAsia="宋体"/>
      <w:sz w:val="18"/>
      <w:szCs w:val="18"/>
    </w:rPr>
  </w:style>
  <w:style w:type="paragraph" w:styleId="9">
    <w:name w:val="toc 5"/>
    <w:basedOn w:val="1"/>
    <w:next w:val="1"/>
    <w:unhideWhenUsed/>
    <w:qFormat/>
    <w:uiPriority w:val="39"/>
    <w:pPr>
      <w:ind w:left="1120"/>
      <w:jc w:val="left"/>
    </w:pPr>
    <w:rPr>
      <w:rFonts w:asciiTheme="minorHAnsi" w:hAnsiTheme="minorHAnsi"/>
      <w:sz w:val="18"/>
      <w:szCs w:val="18"/>
    </w:rPr>
  </w:style>
  <w:style w:type="paragraph" w:styleId="10">
    <w:name w:val="toc 3"/>
    <w:basedOn w:val="1"/>
    <w:next w:val="1"/>
    <w:unhideWhenUsed/>
    <w:qFormat/>
    <w:uiPriority w:val="39"/>
    <w:pPr>
      <w:ind w:left="560"/>
      <w:jc w:val="left"/>
    </w:pPr>
    <w:rPr>
      <w:rFonts w:asciiTheme="minorHAnsi" w:hAnsiTheme="minorHAnsi"/>
      <w:i/>
      <w:iCs/>
      <w:sz w:val="20"/>
      <w:szCs w:val="20"/>
    </w:rPr>
  </w:style>
  <w:style w:type="paragraph" w:styleId="11">
    <w:name w:val="toc 8"/>
    <w:basedOn w:val="1"/>
    <w:next w:val="1"/>
    <w:unhideWhenUsed/>
    <w:qFormat/>
    <w:uiPriority w:val="39"/>
    <w:pPr>
      <w:ind w:left="1960"/>
      <w:jc w:val="left"/>
    </w:pPr>
    <w:rPr>
      <w:rFonts w:asciiTheme="minorHAnsi" w:hAnsiTheme="minorHAnsi"/>
      <w:sz w:val="18"/>
      <w:szCs w:val="18"/>
    </w:rPr>
  </w:style>
  <w:style w:type="paragraph" w:styleId="12">
    <w:name w:val="Date"/>
    <w:basedOn w:val="1"/>
    <w:next w:val="1"/>
    <w:link w:val="31"/>
    <w:semiHidden/>
    <w:unhideWhenUsed/>
    <w:qFormat/>
    <w:uiPriority w:val="99"/>
    <w:pPr>
      <w:ind w:left="100" w:leftChars="2500"/>
    </w:pPr>
  </w:style>
  <w:style w:type="paragraph" w:styleId="13">
    <w:name w:val="footer"/>
    <w:basedOn w:val="1"/>
    <w:link w:val="30"/>
    <w:unhideWhenUsed/>
    <w:qFormat/>
    <w:uiPriority w:val="99"/>
    <w:pPr>
      <w:tabs>
        <w:tab w:val="center" w:pos="4153"/>
        <w:tab w:val="right" w:pos="8306"/>
      </w:tabs>
      <w:snapToGrid w:val="0"/>
      <w:jc w:val="left"/>
    </w:pPr>
    <w:rPr>
      <w:sz w:val="18"/>
      <w:szCs w:val="18"/>
    </w:rPr>
  </w:style>
  <w:style w:type="paragraph" w:styleId="14">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10244"/>
      </w:tabs>
      <w:ind w:firstLine="600"/>
      <w:jc w:val="left"/>
    </w:pPr>
    <w:rPr>
      <w:rFonts w:eastAsia="黑体" w:asciiTheme="minorHAnsi" w:hAnsiTheme="minorHAnsi"/>
      <w:b/>
      <w:bCs/>
      <w:caps/>
      <w:kern w:val="0"/>
      <w:szCs w:val="30"/>
    </w:rPr>
  </w:style>
  <w:style w:type="paragraph" w:styleId="16">
    <w:name w:val="toc 4"/>
    <w:basedOn w:val="1"/>
    <w:next w:val="1"/>
    <w:unhideWhenUsed/>
    <w:qFormat/>
    <w:uiPriority w:val="39"/>
    <w:pPr>
      <w:ind w:left="840"/>
      <w:jc w:val="left"/>
    </w:pPr>
    <w:rPr>
      <w:rFonts w:asciiTheme="minorHAnsi" w:hAnsiTheme="minorHAnsi"/>
      <w:sz w:val="18"/>
      <w:szCs w:val="18"/>
    </w:rPr>
  </w:style>
  <w:style w:type="paragraph" w:styleId="17">
    <w:name w:val="Subtitle"/>
    <w:basedOn w:val="1"/>
    <w:next w:val="1"/>
    <w:link w:val="39"/>
    <w:qFormat/>
    <w:uiPriority w:val="11"/>
    <w:pPr>
      <w:ind w:firstLine="0" w:firstLineChars="0"/>
      <w:jc w:val="center"/>
      <w:outlineLvl w:val="3"/>
    </w:pPr>
    <w:rPr>
      <w:rFonts w:cstheme="majorBidi"/>
      <w:b/>
      <w:bCs/>
      <w:kern w:val="28"/>
      <w:sz w:val="21"/>
      <w:szCs w:val="32"/>
    </w:rPr>
  </w:style>
  <w:style w:type="paragraph" w:styleId="18">
    <w:name w:val="toc 6"/>
    <w:basedOn w:val="1"/>
    <w:next w:val="1"/>
    <w:unhideWhenUsed/>
    <w:uiPriority w:val="39"/>
    <w:pPr>
      <w:ind w:left="1400"/>
      <w:jc w:val="left"/>
    </w:pPr>
    <w:rPr>
      <w:rFonts w:asciiTheme="minorHAnsi" w:hAnsiTheme="minorHAnsi"/>
      <w:sz w:val="18"/>
      <w:szCs w:val="18"/>
    </w:rPr>
  </w:style>
  <w:style w:type="paragraph" w:styleId="19">
    <w:name w:val="toc 2"/>
    <w:basedOn w:val="1"/>
    <w:next w:val="1"/>
    <w:unhideWhenUsed/>
    <w:qFormat/>
    <w:uiPriority w:val="39"/>
    <w:pPr>
      <w:ind w:left="280"/>
      <w:jc w:val="left"/>
    </w:pPr>
    <w:rPr>
      <w:rFonts w:eastAsia="黑体" w:asciiTheme="minorHAnsi" w:hAnsiTheme="minorHAnsi"/>
      <w:smallCaps/>
      <w:szCs w:val="20"/>
    </w:rPr>
  </w:style>
  <w:style w:type="paragraph" w:styleId="20">
    <w:name w:val="toc 9"/>
    <w:basedOn w:val="1"/>
    <w:next w:val="1"/>
    <w:unhideWhenUsed/>
    <w:qFormat/>
    <w:uiPriority w:val="39"/>
    <w:pPr>
      <w:ind w:left="2240"/>
      <w:jc w:val="left"/>
    </w:pPr>
    <w:rPr>
      <w:rFonts w:asciiTheme="minorHAnsi" w:hAnsiTheme="minorHAnsi"/>
      <w:sz w:val="18"/>
      <w:szCs w:val="18"/>
    </w:rPr>
  </w:style>
  <w:style w:type="paragraph" w:styleId="21">
    <w:name w:val="Title"/>
    <w:basedOn w:val="1"/>
    <w:next w:val="1"/>
    <w:link w:val="38"/>
    <w:qFormat/>
    <w:uiPriority w:val="10"/>
    <w:pPr>
      <w:ind w:firstLine="0" w:firstLineChars="0"/>
      <w:jc w:val="center"/>
      <w:outlineLvl w:val="0"/>
    </w:pPr>
    <w:rPr>
      <w:rFonts w:cstheme="majorBidi"/>
      <w:b/>
      <w:bCs/>
      <w:sz w:val="32"/>
      <w:szCs w:val="32"/>
    </w:rPr>
  </w:style>
  <w:style w:type="table" w:styleId="23">
    <w:name w:val="Table Grid"/>
    <w:basedOn w:val="2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FollowedHyperlink"/>
    <w:basedOn w:val="24"/>
    <w:semiHidden/>
    <w:unhideWhenUsed/>
    <w:uiPriority w:val="99"/>
    <w:rPr>
      <w:color w:val="800080"/>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themeColor="hyperlink"/>
      <w:u w:val="single"/>
    </w:rPr>
  </w:style>
  <w:style w:type="character" w:customStyle="1" w:styleId="29">
    <w:name w:val="页眉 Char"/>
    <w:basedOn w:val="24"/>
    <w:link w:val="14"/>
    <w:semiHidden/>
    <w:qFormat/>
    <w:uiPriority w:val="99"/>
    <w:rPr>
      <w:sz w:val="18"/>
      <w:szCs w:val="18"/>
    </w:rPr>
  </w:style>
  <w:style w:type="character" w:customStyle="1" w:styleId="30">
    <w:name w:val="页脚 Char"/>
    <w:basedOn w:val="24"/>
    <w:link w:val="13"/>
    <w:uiPriority w:val="99"/>
    <w:rPr>
      <w:sz w:val="18"/>
      <w:szCs w:val="18"/>
    </w:rPr>
  </w:style>
  <w:style w:type="character" w:customStyle="1" w:styleId="31">
    <w:name w:val="日期 Char"/>
    <w:basedOn w:val="24"/>
    <w:link w:val="12"/>
    <w:semiHidden/>
    <w:qFormat/>
    <w:uiPriority w:val="99"/>
  </w:style>
  <w:style w:type="character" w:customStyle="1" w:styleId="32">
    <w:name w:val="文档结构图 Char"/>
    <w:basedOn w:val="24"/>
    <w:link w:val="8"/>
    <w:semiHidden/>
    <w:qFormat/>
    <w:uiPriority w:val="99"/>
    <w:rPr>
      <w:rFonts w:ascii="宋体" w:eastAsia="宋体"/>
      <w:sz w:val="18"/>
      <w:szCs w:val="18"/>
    </w:rPr>
  </w:style>
  <w:style w:type="character" w:customStyle="1" w:styleId="33">
    <w:name w:val="标题 1 Char"/>
    <w:basedOn w:val="24"/>
    <w:link w:val="2"/>
    <w:qFormat/>
    <w:uiPriority w:val="9"/>
    <w:rPr>
      <w:rFonts w:ascii="Times New Roman" w:hAnsi="Times New Roman" w:eastAsia="黑体"/>
      <w:b/>
      <w:bCs/>
      <w:kern w:val="44"/>
      <w:sz w:val="32"/>
      <w:szCs w:val="44"/>
    </w:rPr>
  </w:style>
  <w:style w:type="character" w:customStyle="1" w:styleId="34">
    <w:name w:val="标题 2 Char"/>
    <w:basedOn w:val="24"/>
    <w:link w:val="3"/>
    <w:qFormat/>
    <w:uiPriority w:val="9"/>
    <w:rPr>
      <w:rFonts w:ascii="Times New Roman" w:hAnsi="Times New Roman" w:eastAsia="宋体" w:cstheme="majorBidi"/>
      <w:b/>
      <w:bCs/>
      <w:sz w:val="30"/>
      <w:szCs w:val="32"/>
    </w:rPr>
  </w:style>
  <w:style w:type="character" w:customStyle="1" w:styleId="35">
    <w:name w:val="标题 3 Char"/>
    <w:basedOn w:val="24"/>
    <w:link w:val="4"/>
    <w:qFormat/>
    <w:uiPriority w:val="9"/>
    <w:rPr>
      <w:rFonts w:ascii="Times New Roman" w:hAnsi="Times New Roman" w:eastAsia="仿宋_GB2312"/>
      <w:b/>
      <w:bCs/>
      <w:sz w:val="28"/>
      <w:szCs w:val="32"/>
    </w:rPr>
  </w:style>
  <w:style w:type="character" w:customStyle="1" w:styleId="36">
    <w:name w:val="标题 4 Char"/>
    <w:basedOn w:val="24"/>
    <w:link w:val="5"/>
    <w:qFormat/>
    <w:uiPriority w:val="9"/>
    <w:rPr>
      <w:rFonts w:ascii="Times New Roman" w:hAnsi="Times New Roman" w:eastAsia="仿宋_GB2312" w:cstheme="majorBidi"/>
      <w:b/>
      <w:bCs/>
      <w:sz w:val="24"/>
      <w:szCs w:val="28"/>
    </w:rPr>
  </w:style>
  <w:style w:type="character" w:customStyle="1" w:styleId="37">
    <w:name w:val="Subtle Emphasis"/>
    <w:basedOn w:val="24"/>
    <w:qFormat/>
    <w:uiPriority w:val="19"/>
    <w:rPr>
      <w:rFonts w:ascii="Times New Roman" w:hAnsi="Times New Roman" w:eastAsia="仿宋_GB2312"/>
      <w:iCs/>
      <w:color w:val="auto"/>
      <w:sz w:val="24"/>
    </w:rPr>
  </w:style>
  <w:style w:type="character" w:customStyle="1" w:styleId="38">
    <w:name w:val="标题 Char"/>
    <w:basedOn w:val="24"/>
    <w:link w:val="21"/>
    <w:qFormat/>
    <w:uiPriority w:val="10"/>
    <w:rPr>
      <w:rFonts w:ascii="Times New Roman" w:hAnsi="Times New Roman" w:eastAsia="仿宋_GB2312" w:cstheme="majorBidi"/>
      <w:b/>
      <w:bCs/>
      <w:sz w:val="32"/>
      <w:szCs w:val="32"/>
    </w:rPr>
  </w:style>
  <w:style w:type="character" w:customStyle="1" w:styleId="39">
    <w:name w:val="副标题 Char"/>
    <w:basedOn w:val="24"/>
    <w:link w:val="17"/>
    <w:qFormat/>
    <w:uiPriority w:val="11"/>
    <w:rPr>
      <w:rFonts w:ascii="Times New Roman" w:hAnsi="Times New Roman" w:eastAsia="仿宋_GB2312" w:cstheme="majorBidi"/>
      <w:b/>
      <w:bCs/>
      <w:kern w:val="28"/>
      <w:szCs w:val="32"/>
    </w:rPr>
  </w:style>
  <w:style w:type="paragraph" w:customStyle="1" w:styleId="40">
    <w:name w:val="font5"/>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41">
    <w:name w:val="xl69"/>
    <w:basedOn w:val="1"/>
    <w:qFormat/>
    <w:uiPriority w:val="0"/>
    <w:pPr>
      <w:widowControl/>
      <w:spacing w:before="100" w:beforeAutospacing="1" w:after="100" w:afterAutospacing="1" w:line="240" w:lineRule="auto"/>
      <w:ind w:firstLine="0" w:firstLineChars="0"/>
      <w:jc w:val="left"/>
    </w:pPr>
    <w:rPr>
      <w:rFonts w:ascii="仿宋_GB2312" w:hAnsi="宋体" w:cs="宋体"/>
      <w:kern w:val="0"/>
      <w:sz w:val="21"/>
      <w:szCs w:val="21"/>
    </w:rPr>
  </w:style>
  <w:style w:type="paragraph" w:customStyle="1" w:styleId="4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4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44">
    <w:name w:val="xl72"/>
    <w:basedOn w:val="1"/>
    <w:qFormat/>
    <w:uiPriority w:val="0"/>
    <w:pPr>
      <w:widowControl/>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45">
    <w:name w:val="xl73"/>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4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47">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48">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49">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50">
    <w:name w:val="xl78"/>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51">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5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5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5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5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56">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57">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5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59">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60">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61">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6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b/>
      <w:bCs/>
      <w:kern w:val="0"/>
      <w:sz w:val="21"/>
      <w:szCs w:val="21"/>
    </w:rPr>
  </w:style>
  <w:style w:type="paragraph" w:customStyle="1" w:styleId="6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kern w:val="0"/>
      <w:sz w:val="21"/>
      <w:szCs w:val="21"/>
    </w:rPr>
  </w:style>
  <w:style w:type="paragraph" w:customStyle="1" w:styleId="64">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kern w:val="0"/>
      <w:sz w:val="21"/>
      <w:szCs w:val="21"/>
    </w:rPr>
  </w:style>
  <w:style w:type="paragraph" w:customStyle="1" w:styleId="6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kern w:val="0"/>
      <w:sz w:val="21"/>
      <w:szCs w:val="21"/>
    </w:rPr>
  </w:style>
  <w:style w:type="paragraph" w:customStyle="1" w:styleId="66">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kern w:val="0"/>
      <w:sz w:val="21"/>
      <w:szCs w:val="21"/>
    </w:rPr>
  </w:style>
  <w:style w:type="paragraph" w:customStyle="1" w:styleId="67">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68">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6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7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71">
    <w:name w:val="font6"/>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72">
    <w:name w:val="font7"/>
    <w:basedOn w:val="1"/>
    <w:qFormat/>
    <w:uiPriority w:val="0"/>
    <w:pPr>
      <w:widowControl/>
      <w:spacing w:before="100" w:beforeAutospacing="1" w:after="100" w:afterAutospacing="1" w:line="240" w:lineRule="auto"/>
      <w:ind w:firstLine="0" w:firstLineChars="0"/>
      <w:jc w:val="left"/>
    </w:pPr>
    <w:rPr>
      <w:rFonts w:ascii="Tahoma" w:hAnsi="Tahoma" w:eastAsia="宋体" w:cs="Tahoma"/>
      <w:kern w:val="0"/>
      <w:sz w:val="18"/>
      <w:szCs w:val="18"/>
    </w:rPr>
  </w:style>
  <w:style w:type="paragraph" w:customStyle="1" w:styleId="73">
    <w:name w:val="font8"/>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74">
    <w:name w:val="font9"/>
    <w:basedOn w:val="1"/>
    <w:qFormat/>
    <w:uiPriority w:val="0"/>
    <w:pPr>
      <w:widowControl/>
      <w:spacing w:before="100" w:beforeAutospacing="1" w:after="100" w:afterAutospacing="1" w:line="240" w:lineRule="auto"/>
      <w:ind w:firstLine="0" w:firstLineChars="0"/>
      <w:jc w:val="left"/>
    </w:pPr>
    <w:rPr>
      <w:rFonts w:ascii="仿宋_GB2312" w:hAnsi="宋体" w:cs="宋体"/>
      <w:color w:val="333333"/>
      <w:kern w:val="0"/>
      <w:sz w:val="21"/>
      <w:szCs w:val="21"/>
    </w:rPr>
  </w:style>
  <w:style w:type="paragraph" w:customStyle="1" w:styleId="7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1"/>
      <w:szCs w:val="21"/>
    </w:rPr>
  </w:style>
  <w:style w:type="paragraph" w:styleId="76">
    <w:name w:val="List Paragraph"/>
    <w:basedOn w:val="1"/>
    <w:qFormat/>
    <w:uiPriority w:val="34"/>
    <w:pPr>
      <w:ind w:firstLine="420"/>
    </w:pPr>
  </w:style>
  <w:style w:type="character" w:customStyle="1" w:styleId="77">
    <w:name w:val="标题 5 Char"/>
    <w:basedOn w:val="24"/>
    <w:link w:val="6"/>
    <w:qFormat/>
    <w:uiPriority w:val="9"/>
    <w:rPr>
      <w:b/>
      <w:bCs/>
      <w:sz w:val="28"/>
      <w:szCs w:val="28"/>
    </w:rPr>
  </w:style>
  <w:style w:type="paragraph" w:customStyle="1" w:styleId="78">
    <w:name w:val="标题 31"/>
    <w:basedOn w:val="1"/>
    <w:qFormat/>
    <w:uiPriority w:val="1"/>
    <w:pPr>
      <w:spacing w:line="240" w:lineRule="auto"/>
      <w:ind w:left="1021" w:right="-2" w:firstLine="0" w:firstLineChars="0"/>
      <w:jc w:val="left"/>
      <w:outlineLvl w:val="3"/>
    </w:pPr>
    <w:rPr>
      <w:rFonts w:ascii="微软雅黑" w:hAnsi="微软雅黑" w:eastAsia="微软雅黑" w:cs="微软雅黑"/>
      <w:b/>
      <w:bCs/>
      <w:kern w:val="0"/>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EF4E-ABEC-44E4-A02C-C7998B53EB8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39</Pages>
  <Words>35285</Words>
  <Characters>58270</Characters>
  <Lines>555</Lines>
  <Paragraphs>156</Paragraphs>
  <TotalTime>3267</TotalTime>
  <ScaleCrop>false</ScaleCrop>
  <LinksUpToDate>false</LinksUpToDate>
  <CharactersWithSpaces>61491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2017-03-27T07:05:00Z</dcterms:created>
  <dc:creator>微软用户</dc:creator>
  <cp:lastModifiedBy>周周周颜玉。</cp:lastModifiedBy>
  <dcterms:modified xsi:type="dcterms:W3CDTF">2023-05-25T02:55:23Z</dcterms:modified>
  <cp:revision>493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B944002DCE1D4FAFA1D243C20B6A9A67_12</vt:lpwstr>
  </property>
</Properties>
</file>