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05"/>
        </w:tabs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耒阳市审计局部门整体支出绩效评价报告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耒阳市审计局基本情况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（一）职能职责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主管全市审计工作。负责对全市财政收支和法律法规规定属于审计监督范围的真实、合法和效益进行审计监督，维护全市财政经济秩序，提高财政资金使用效益，促进廉政建设，保障全市经济和社会健康发展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（二）</w:t>
      </w:r>
      <w:r>
        <w:rPr>
          <w:rFonts w:eastAsia="仿宋_GB2312"/>
          <w:b/>
          <w:bCs/>
          <w:sz w:val="32"/>
          <w:szCs w:val="32"/>
        </w:rPr>
        <w:t>机构设置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根据编办核定，本单位属于正科级行政单位，内设个12职能股室，下辖审计服务中心1个二级机构。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一般公共预算支出情况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784.93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267.74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  <w:lang w:eastAsia="zh-CN"/>
        </w:rPr>
        <w:t>政府性投资审计项目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150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政府性投资项目审计</w:t>
      </w:r>
      <w:r>
        <w:rPr>
          <w:rFonts w:eastAsia="仿宋_GB2312"/>
          <w:sz w:val="32"/>
          <w:szCs w:val="32"/>
        </w:rPr>
        <w:t>等方面</w:t>
      </w:r>
      <w:r>
        <w:rPr>
          <w:rFonts w:hint="eastAsia" w:eastAsia="仿宋_GB2312"/>
          <w:sz w:val="32"/>
          <w:szCs w:val="32"/>
          <w:lang w:eastAsia="zh-CN"/>
        </w:rPr>
        <w:t>；重点项目支出</w:t>
      </w:r>
      <w:r>
        <w:rPr>
          <w:rFonts w:hint="eastAsia" w:eastAsia="仿宋_GB2312"/>
          <w:sz w:val="32"/>
          <w:szCs w:val="32"/>
          <w:lang w:val="en-US" w:eastAsia="zh-CN"/>
        </w:rPr>
        <w:t>20万元，主要用于重点审计项目方面支出，</w:t>
      </w:r>
      <w:r>
        <w:rPr>
          <w:rFonts w:hint="eastAsia" w:eastAsia="仿宋_GB2312"/>
          <w:sz w:val="32"/>
          <w:szCs w:val="32"/>
          <w:lang w:eastAsia="zh-CN"/>
        </w:rPr>
        <w:t>经济责任项目支出</w:t>
      </w:r>
      <w:r>
        <w:rPr>
          <w:rFonts w:hint="eastAsia" w:eastAsia="仿宋_GB2312"/>
          <w:sz w:val="32"/>
          <w:szCs w:val="32"/>
          <w:lang w:val="en-US" w:eastAsia="zh-CN"/>
        </w:rPr>
        <w:t>40万元，主要用于经济责任审计项目支出，办公楼维修项目支出57.74万元，主要用于办公楼维修使用。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政府性基金预算支出情况</w:t>
      </w:r>
    </w:p>
    <w:p>
      <w:pPr>
        <w:numPr>
          <w:ilvl w:val="0"/>
          <w:numId w:val="0"/>
        </w:numPr>
        <w:tabs>
          <w:tab w:val="left" w:pos="2305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无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国有资本经营预算支出情况</w:t>
      </w:r>
    </w:p>
    <w:p>
      <w:pPr>
        <w:numPr>
          <w:ilvl w:val="0"/>
          <w:numId w:val="0"/>
        </w:numPr>
        <w:tabs>
          <w:tab w:val="left" w:pos="2305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无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社会保险基金预算支出情况</w:t>
      </w:r>
    </w:p>
    <w:p>
      <w:pPr>
        <w:numPr>
          <w:ilvl w:val="0"/>
          <w:numId w:val="0"/>
        </w:numPr>
        <w:tabs>
          <w:tab w:val="left" w:pos="2305"/>
        </w:tabs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部门整体支出绩效情况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共安排审计项目71个，截至11月底，已实施审计项目71个，完成率100%。完成市委、市政府临时性安排项目14个。审计查出违纪违规和管理不规范问题金额47.43亿元，审计促进整改落实有关问题资金325万元，审计后挽回（避免）损失395万元，清缴土地出让金9007万元，向有关部门移送问题线索66起；向市委、市政府主要领导报送《审计要情》9期、《审计情况专报》8期。耒阳市自然资源局2016年至2019年度财务收支审计项目获省审计厅审计项目三等奖、衡阳市优秀审计项目二等奖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预算支出1122.82万元，实际支出1291.71万元，执行率为115.04%。其中基本支出821.79万元，实际支出990.68万元，执行率120.05%；政府性投资审计支出150万元，实际支出150万元，执行率100%；应支未支151.03万元，实际支出151.03万元，执行率100%。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存在的问题及原因分析</w:t>
      </w:r>
    </w:p>
    <w:p>
      <w:pPr>
        <w:widowControl/>
        <w:spacing w:line="600" w:lineRule="exact"/>
        <w:ind w:firstLine="66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政府性投资审计资金的保障由于下达时间的因素，致使资金的使用有所被动，专项的资金下达情况导致后续资金需要补充前期的支出问题。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下一步改进措施</w:t>
      </w:r>
    </w:p>
    <w:p>
      <w:pPr>
        <w:numPr>
          <w:ilvl w:val="0"/>
          <w:numId w:val="0"/>
        </w:numPr>
        <w:tabs>
          <w:tab w:val="left" w:pos="2305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严格按照要求科学合理的编制部门预算，强化年初预算编制工作，做到科学预测、精准编制、严格落实，不断提高目标绩效。</w:t>
      </w:r>
    </w:p>
    <w:p>
      <w:pPr>
        <w:numPr>
          <w:ilvl w:val="0"/>
          <w:numId w:val="1"/>
        </w:numPr>
        <w:tabs>
          <w:tab w:val="left" w:pos="2305"/>
        </w:tabs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其他需要说明的情况</w:t>
      </w:r>
    </w:p>
    <w:p>
      <w:pPr>
        <w:numPr>
          <w:ilvl w:val="0"/>
          <w:numId w:val="0"/>
        </w:numPr>
        <w:tabs>
          <w:tab w:val="left" w:pos="2305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0130C"/>
    <w:multiLevelType w:val="singleLevel"/>
    <w:tmpl w:val="8DA013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Yzg3NDEwM2NkNTA0ZGQ2ZmZhZTUwYzBkZWU2ZGMifQ=="/>
  </w:docVars>
  <w:rsids>
    <w:rsidRoot w:val="6D1326B1"/>
    <w:rsid w:val="6D1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2022-11-11T01:49:00Z</dcterms:created>
  <dc:creator>屈世超</dc:creator>
  <cp:lastModifiedBy>屈世超</cp:lastModifiedBy>
  <dcterms:modified xsi:type="dcterms:W3CDTF">2022-11-11T02:01:56Z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1A1139C0E89C4591BB0E67C7E74E16B9</vt:lpwstr>
  </property>
</Properties>
</file>