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4320" w:firstLineChars="1200"/>
        <w:jc w:val="both"/>
        <w:rPr>
          <w:rFonts w:ascii="宋体" w:hAnsi="宋体" w:eastAsia="宋体" w:cs="宋体"/>
          <w:sz w:val="36"/>
          <w:szCs w:val="36"/>
        </w:rPr>
      </w:pPr>
    </w:p>
    <w:p>
      <w:pPr>
        <w:pStyle w:val="10"/>
        <w:ind w:firstLine="4320" w:firstLineChars="1200"/>
        <w:jc w:val="both"/>
        <w:rPr>
          <w:rFonts w:ascii="宋体" w:hAnsi="宋体" w:eastAsia="宋体" w:cs="宋体"/>
          <w:sz w:val="36"/>
          <w:szCs w:val="36"/>
        </w:rPr>
      </w:pPr>
    </w:p>
    <w:p>
      <w:pPr>
        <w:pStyle w:val="10"/>
        <w:ind w:firstLine="2520" w:firstLineChars="700"/>
        <w:jc w:val="both"/>
        <w:rPr>
          <w:rFonts w:ascii="宋体" w:hAnsi="宋体" w:eastAsia="宋体" w:cs="宋体"/>
          <w:sz w:val="36"/>
          <w:szCs w:val="36"/>
        </w:rPr>
      </w:pPr>
      <w:r>
        <w:rPr>
          <w:rFonts w:hint="eastAsia" w:ascii="宋体" w:hAnsi="宋体" w:eastAsia="宋体" w:cs="宋体"/>
          <w:sz w:val="36"/>
          <w:szCs w:val="36"/>
        </w:rPr>
        <w:t>2022年度耒阳市幼儿园部门决算</w:t>
      </w:r>
    </w:p>
    <w:p>
      <w:pPr>
        <w:pStyle w:val="10"/>
        <w:spacing w:line="500" w:lineRule="exact"/>
        <w:ind w:firstLine="5060" w:firstLineChars="1400"/>
        <w:jc w:val="both"/>
        <w:rPr>
          <w:b/>
          <w:sz w:val="36"/>
          <w:szCs w:val="28"/>
        </w:rPr>
      </w:pPr>
    </w:p>
    <w:p>
      <w:pPr>
        <w:pStyle w:val="10"/>
        <w:spacing w:line="500" w:lineRule="exact"/>
        <w:ind w:firstLine="4337" w:firstLineChars="1200"/>
        <w:jc w:val="both"/>
        <w:rPr>
          <w:b/>
          <w:sz w:val="36"/>
          <w:szCs w:val="28"/>
        </w:rPr>
      </w:pPr>
      <w:r>
        <w:rPr>
          <w:rFonts w:hint="eastAsia"/>
          <w:b/>
          <w:sz w:val="36"/>
          <w:szCs w:val="28"/>
        </w:rPr>
        <w:t>目录</w:t>
      </w:r>
    </w:p>
    <w:p>
      <w:pPr>
        <w:pStyle w:val="10"/>
        <w:spacing w:line="500" w:lineRule="exact"/>
        <w:rPr>
          <w:rFonts w:hAnsi="黑体"/>
          <w:bCs/>
          <w:sz w:val="28"/>
          <w:szCs w:val="28"/>
        </w:rPr>
      </w:pPr>
    </w:p>
    <w:p>
      <w:pPr>
        <w:pStyle w:val="10"/>
        <w:spacing w:line="500" w:lineRule="exact"/>
        <w:rPr>
          <w:rFonts w:hAnsi="黑体"/>
          <w:bCs/>
          <w:sz w:val="28"/>
          <w:szCs w:val="28"/>
        </w:rPr>
      </w:pPr>
    </w:p>
    <w:p>
      <w:pPr>
        <w:pStyle w:val="10"/>
        <w:spacing w:line="500" w:lineRule="exact"/>
        <w:rPr>
          <w:rFonts w:hAnsi="黑体"/>
          <w:bCs/>
          <w:sz w:val="28"/>
          <w:szCs w:val="28"/>
        </w:rPr>
      </w:pPr>
      <w:r>
        <w:rPr>
          <w:rFonts w:hint="eastAsia" w:hAnsi="黑体"/>
          <w:bCs/>
          <w:sz w:val="28"/>
          <w:szCs w:val="28"/>
        </w:rPr>
        <w:t>第一部分 耒阳市幼儿园概况</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Ansi="黑体"/>
          <w:bCs/>
          <w:sz w:val="28"/>
          <w:szCs w:val="28"/>
        </w:rPr>
      </w:pPr>
      <w:r>
        <w:rPr>
          <w:rFonts w:hint="eastAsia" w:hAnsi="黑体"/>
          <w:bCs/>
          <w:sz w:val="28"/>
          <w:szCs w:val="28"/>
        </w:rPr>
        <w:t>第二部分 部门决算表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Ansi="黑体"/>
          <w:bCs/>
          <w:sz w:val="28"/>
          <w:szCs w:val="28"/>
        </w:rPr>
      </w:pPr>
      <w:r>
        <w:rPr>
          <w:rFonts w:hint="eastAsia" w:hAnsi="黑体"/>
          <w:bCs/>
          <w:sz w:val="28"/>
          <w:szCs w:val="28"/>
        </w:rPr>
        <w:t>第三部分 部门决算情况说明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Ansi="黑体"/>
          <w:bCs/>
          <w:sz w:val="28"/>
          <w:szCs w:val="28"/>
        </w:rPr>
      </w:pPr>
      <w:r>
        <w:rPr>
          <w:rFonts w:hint="eastAsia" w:hAnsi="黑体"/>
          <w:bCs/>
          <w:sz w:val="28"/>
          <w:szCs w:val="28"/>
        </w:rPr>
        <w:t>第四部分 名词解释</w:t>
      </w:r>
    </w:p>
    <w:p>
      <w:pPr>
        <w:jc w:val="center"/>
        <w:rPr>
          <w:sz w:val="72"/>
          <w:szCs w:val="72"/>
        </w:rPr>
      </w:pPr>
    </w:p>
    <w:p>
      <w:pPr>
        <w:pStyle w:val="10"/>
        <w:ind w:firstLine="3960" w:firstLineChars="1100"/>
        <w:rPr>
          <w:rFonts w:ascii="宋体" w:hAnsi="宋体" w:eastAsia="宋体"/>
          <w:sz w:val="36"/>
          <w:szCs w:val="36"/>
        </w:rPr>
      </w:pPr>
      <w:r>
        <w:rPr>
          <w:rFonts w:hint="eastAsia" w:ascii="宋体" w:hAnsi="宋体" w:eastAsia="宋体"/>
          <w:sz w:val="36"/>
          <w:szCs w:val="36"/>
        </w:rPr>
        <w:t>第一部分</w:t>
      </w:r>
      <w:r>
        <w:rPr>
          <w:rFonts w:ascii="宋体" w:hAnsi="宋体" w:eastAsia="宋体"/>
          <w:sz w:val="36"/>
          <w:szCs w:val="36"/>
        </w:rPr>
        <w:t xml:space="preserve"> </w:t>
      </w:r>
    </w:p>
    <w:p>
      <w:pPr>
        <w:pStyle w:val="10"/>
        <w:ind w:firstLine="4320" w:firstLineChars="1200"/>
        <w:rPr>
          <w:rFonts w:ascii="宋体" w:hAnsi="宋体" w:eastAsia="宋体"/>
          <w:sz w:val="36"/>
          <w:szCs w:val="36"/>
        </w:rPr>
      </w:pPr>
    </w:p>
    <w:p>
      <w:pPr>
        <w:pStyle w:val="10"/>
        <w:ind w:firstLine="2880" w:firstLineChars="800"/>
        <w:rPr>
          <w:rFonts w:ascii="宋体" w:hAnsi="宋体" w:eastAsia="宋体"/>
          <w:sz w:val="36"/>
          <w:szCs w:val="36"/>
        </w:rPr>
      </w:pPr>
      <w:r>
        <w:rPr>
          <w:rFonts w:hint="eastAsia" w:ascii="宋体" w:hAnsi="宋体" w:eastAsia="宋体"/>
          <w:sz w:val="36"/>
          <w:szCs w:val="36"/>
        </w:rPr>
        <w:t>耒阳市幼儿园单位概况</w:t>
      </w:r>
    </w:p>
    <w:p>
      <w:pPr>
        <w:jc w:val="left"/>
        <w:rPr>
          <w:rFonts w:ascii="宋体" w:hAnsi="宋体" w:eastAsia="宋体"/>
          <w:sz w:val="36"/>
          <w:szCs w:val="36"/>
        </w:rPr>
      </w:pPr>
    </w:p>
    <w:p>
      <w:pPr>
        <w:jc w:val="left"/>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部门职责</w:t>
      </w:r>
    </w:p>
    <w:p>
      <w:pPr>
        <w:pStyle w:val="5"/>
        <w:spacing w:before="0" w:beforeAutospacing="0" w:after="0" w:afterAutospacing="0" w:line="480" w:lineRule="auto"/>
        <w:ind w:firstLine="560" w:firstLineChars="200"/>
        <w:jc w:val="both"/>
        <w:rPr>
          <w:color w:val="333333"/>
          <w:sz w:val="28"/>
          <w:szCs w:val="28"/>
        </w:rPr>
      </w:pPr>
      <w:bookmarkStart w:id="0" w:name="_Hlk110273195"/>
      <w:r>
        <w:rPr>
          <w:rFonts w:hint="eastAsia"/>
          <w:color w:val="333333"/>
          <w:sz w:val="28"/>
          <w:szCs w:val="28"/>
        </w:rPr>
        <w:t>1.承担教育教学工作，使幼儿在德智体美</w:t>
      </w:r>
      <w:r>
        <w:rPr>
          <w:rFonts w:hint="eastAsia"/>
          <w:color w:val="333333"/>
          <w:sz w:val="28"/>
          <w:szCs w:val="28"/>
          <w:lang w:eastAsia="zh-CN"/>
        </w:rPr>
        <w:t>劳</w:t>
      </w:r>
      <w:r>
        <w:rPr>
          <w:rFonts w:hint="eastAsia"/>
          <w:color w:val="333333"/>
          <w:sz w:val="28"/>
          <w:szCs w:val="28"/>
        </w:rPr>
        <w:t>几方面得到全面</w:t>
      </w:r>
      <w:r>
        <w:rPr>
          <w:rFonts w:hint="eastAsia"/>
          <w:color w:val="333333"/>
          <w:sz w:val="28"/>
          <w:szCs w:val="28"/>
          <w:lang w:eastAsia="zh-CN"/>
        </w:rPr>
        <w:t>发</w:t>
      </w:r>
      <w:r>
        <w:rPr>
          <w:rFonts w:hint="eastAsia"/>
          <w:color w:val="333333"/>
          <w:sz w:val="28"/>
          <w:szCs w:val="28"/>
        </w:rPr>
        <w:t>展 。利用课堂教学，用直观的游戏形式，让幼儿多看、多听、多想、多做，调动幼儿的积极性、主动性、创造性，并注意幼儿的个体差异，不断提高教育教学和游戏的质量。</w:t>
      </w:r>
    </w:p>
    <w:p>
      <w:pPr>
        <w:pStyle w:val="5"/>
        <w:spacing w:before="0" w:beforeAutospacing="0" w:after="0" w:afterAutospacing="0" w:line="480" w:lineRule="auto"/>
        <w:ind w:firstLine="560" w:firstLineChars="200"/>
        <w:jc w:val="both"/>
        <w:rPr>
          <w:color w:val="333333"/>
          <w:sz w:val="28"/>
          <w:szCs w:val="28"/>
        </w:rPr>
      </w:pPr>
      <w:r>
        <w:rPr>
          <w:rFonts w:hint="eastAsia"/>
          <w:color w:val="333333"/>
          <w:sz w:val="28"/>
          <w:szCs w:val="28"/>
        </w:rPr>
        <w:t>2.认真执行生活日程，严格按照生活常规要求，培养幼儿良好的文明卫生习惯和独立的生活能力，保证幼儿有足够的户外活动时间，做到动静结合，让幼儿保持良好的情绪。</w:t>
      </w:r>
    </w:p>
    <w:p>
      <w:pPr>
        <w:pStyle w:val="5"/>
        <w:spacing w:before="0" w:beforeAutospacing="0" w:after="0" w:afterAutospacing="0" w:line="480" w:lineRule="auto"/>
        <w:ind w:firstLine="560" w:firstLineChars="200"/>
        <w:jc w:val="both"/>
        <w:rPr>
          <w:color w:val="333333"/>
          <w:sz w:val="28"/>
          <w:szCs w:val="28"/>
        </w:rPr>
      </w:pPr>
      <w:r>
        <w:rPr>
          <w:rFonts w:hint="eastAsia"/>
          <w:color w:val="333333"/>
          <w:sz w:val="28"/>
          <w:szCs w:val="28"/>
        </w:rPr>
        <w:t>3.对幼儿进行初步的“五爱”教育，培养幼儿优良的品德、文明礼貌的行为、活泼开朗的性格。</w:t>
      </w:r>
    </w:p>
    <w:bookmarkEnd w:id="0"/>
    <w:p>
      <w:pPr>
        <w:jc w:val="left"/>
        <w:rPr>
          <w:rFonts w:ascii="宋体" w:hAnsi="宋体" w:eastAsia="宋体"/>
          <w:bCs/>
          <w:kern w:val="0"/>
          <w:sz w:val="28"/>
          <w:szCs w:val="28"/>
        </w:rPr>
      </w:pPr>
      <w:r>
        <w:rPr>
          <w:rFonts w:hint="eastAsia" w:ascii="宋体" w:hAnsi="宋体" w:eastAsia="宋体"/>
          <w:bCs/>
          <w:kern w:val="0"/>
          <w:sz w:val="28"/>
          <w:szCs w:val="28"/>
        </w:rPr>
        <w:t>二、机构设置</w:t>
      </w:r>
    </w:p>
    <w:p>
      <w:pPr>
        <w:tabs>
          <w:tab w:val="left" w:pos="561"/>
        </w:tabs>
        <w:spacing w:line="480" w:lineRule="auto"/>
        <w:rPr>
          <w:rFonts w:ascii="宋体" w:hAnsi="宋体" w:eastAsia="宋体"/>
          <w:bCs/>
          <w:sz w:val="28"/>
          <w:szCs w:val="28"/>
        </w:rPr>
      </w:pPr>
      <w:bookmarkStart w:id="1" w:name="_Hlk110273476"/>
      <w:r>
        <w:rPr>
          <w:rFonts w:hint="eastAsia" w:ascii="宋体" w:hAnsi="宋体" w:eastAsia="宋体"/>
          <w:bCs/>
          <w:sz w:val="28"/>
          <w:szCs w:val="28"/>
        </w:rPr>
        <w:t>1、</w:t>
      </w:r>
      <w:r>
        <w:rPr>
          <w:rFonts w:ascii="宋体" w:hAnsi="宋体" w:eastAsia="宋体"/>
          <w:bCs/>
          <w:sz w:val="28"/>
          <w:szCs w:val="28"/>
        </w:rPr>
        <w:t>机构设置</w:t>
      </w:r>
      <w:r>
        <w:rPr>
          <w:rFonts w:hint="eastAsia" w:ascii="宋体" w:hAnsi="宋体" w:eastAsia="宋体"/>
          <w:bCs/>
          <w:sz w:val="28"/>
          <w:szCs w:val="28"/>
        </w:rPr>
        <w:t>：</w:t>
      </w:r>
    </w:p>
    <w:p>
      <w:pPr>
        <w:tabs>
          <w:tab w:val="left" w:pos="561"/>
        </w:tabs>
        <w:spacing w:line="480" w:lineRule="auto"/>
        <w:ind w:firstLine="560" w:firstLineChars="200"/>
        <w:rPr>
          <w:rFonts w:ascii="宋体" w:hAnsi="宋体" w:eastAsia="宋体"/>
          <w:bCs/>
          <w:sz w:val="28"/>
          <w:szCs w:val="28"/>
        </w:rPr>
      </w:pPr>
      <w:r>
        <w:rPr>
          <w:rFonts w:hint="eastAsia" w:ascii="宋体" w:hAnsi="宋体" w:eastAsia="宋体" w:cs="宋体"/>
          <w:sz w:val="28"/>
          <w:szCs w:val="28"/>
        </w:rPr>
        <w:t>我校隶属耒阳市教育局，无下属单位，全额事业编制20人。实有全额在编在职人员1</w:t>
      </w:r>
      <w:r>
        <w:rPr>
          <w:rFonts w:ascii="宋体" w:hAnsi="宋体" w:eastAsia="宋体" w:cs="宋体"/>
          <w:sz w:val="28"/>
          <w:szCs w:val="28"/>
        </w:rPr>
        <w:t>6</w:t>
      </w:r>
      <w:r>
        <w:rPr>
          <w:rFonts w:hint="eastAsia" w:ascii="宋体" w:hAnsi="宋体" w:eastAsia="宋体" w:cs="宋体"/>
          <w:sz w:val="28"/>
          <w:szCs w:val="28"/>
        </w:rPr>
        <w:t>人，全额退休人员17人，聘用职工16人。</w:t>
      </w:r>
    </w:p>
    <w:bookmarkEnd w:id="1"/>
    <w:p>
      <w:pPr>
        <w:widowControl/>
        <w:numPr>
          <w:ilvl w:val="0"/>
          <w:numId w:val="1"/>
        </w:numPr>
        <w:spacing w:line="600" w:lineRule="exact"/>
        <w:rPr>
          <w:rFonts w:ascii="宋体" w:hAnsi="宋体" w:eastAsia="宋体"/>
          <w:bCs/>
          <w:kern w:val="0"/>
          <w:sz w:val="28"/>
          <w:szCs w:val="28"/>
        </w:rPr>
      </w:pPr>
      <w:bookmarkStart w:id="2" w:name="_Hlk110273504"/>
      <w:r>
        <w:rPr>
          <w:rFonts w:hint="eastAsia" w:ascii="宋体" w:hAnsi="宋体" w:eastAsia="宋体"/>
          <w:bCs/>
          <w:kern w:val="0"/>
          <w:sz w:val="28"/>
          <w:szCs w:val="28"/>
        </w:rPr>
        <w:t>决算单位构成：</w:t>
      </w:r>
    </w:p>
    <w:p>
      <w:pPr>
        <w:widowControl/>
        <w:spacing w:line="600" w:lineRule="exact"/>
        <w:ind w:firstLine="560" w:firstLineChars="200"/>
        <w:rPr>
          <w:rFonts w:ascii="宋体" w:hAnsi="宋体" w:eastAsia="宋体"/>
          <w:bCs/>
          <w:kern w:val="0"/>
          <w:sz w:val="28"/>
          <w:szCs w:val="28"/>
        </w:rPr>
      </w:pPr>
      <w:r>
        <w:rPr>
          <w:rFonts w:hint="eastAsia" w:ascii="宋体" w:hAnsi="宋体" w:eastAsia="宋体"/>
          <w:color w:val="333333"/>
          <w:sz w:val="28"/>
          <w:szCs w:val="28"/>
        </w:rPr>
        <w:t>耒阳市幼儿园202</w:t>
      </w:r>
      <w:r>
        <w:rPr>
          <w:rFonts w:ascii="宋体" w:hAnsi="宋体" w:eastAsia="宋体"/>
          <w:color w:val="333333"/>
          <w:sz w:val="28"/>
          <w:szCs w:val="28"/>
        </w:rPr>
        <w:t>2</w:t>
      </w:r>
      <w:r>
        <w:rPr>
          <w:rFonts w:hint="eastAsia" w:ascii="宋体" w:hAnsi="宋体" w:eastAsia="宋体"/>
          <w:color w:val="333333"/>
          <w:sz w:val="28"/>
          <w:szCs w:val="28"/>
        </w:rPr>
        <w:t>年部门决算汇总公开单位构成包括：耒阳市幼儿园本级,无下属单位和机构。</w:t>
      </w:r>
    </w:p>
    <w:p>
      <w:pPr>
        <w:rPr>
          <w:rFonts w:ascii="宋体" w:hAnsi="宋体" w:eastAsia="宋体"/>
          <w:sz w:val="28"/>
          <w:szCs w:val="28"/>
        </w:rPr>
      </w:pPr>
    </w:p>
    <w:bookmarkEnd w:id="2"/>
    <w:p>
      <w:pPr>
        <w:jc w:val="center"/>
        <w:rPr>
          <w:rFonts w:ascii="黑体" w:hAnsi="黑体" w:eastAsia="黑体"/>
          <w:sz w:val="28"/>
          <w:szCs w:val="28"/>
        </w:rPr>
      </w:pPr>
    </w:p>
    <w:p>
      <w:pPr>
        <w:jc w:val="center"/>
        <w:rPr>
          <w:rFonts w:ascii="黑体" w:hAnsi="黑体" w:eastAsia="黑体"/>
          <w:sz w:val="28"/>
          <w:szCs w:val="28"/>
        </w:rPr>
      </w:pPr>
    </w:p>
    <w:p>
      <w:pPr>
        <w:pStyle w:val="10"/>
        <w:ind w:firstLine="4320" w:firstLineChars="1200"/>
        <w:jc w:val="both"/>
        <w:rPr>
          <w:rFonts w:asciiTheme="majorEastAsia" w:hAnsiTheme="majorEastAsia" w:eastAsiaTheme="majorEastAsia" w:cstheme="majorEastAsia"/>
          <w:sz w:val="36"/>
          <w:szCs w:val="36"/>
        </w:rPr>
      </w:pPr>
    </w:p>
    <w:p>
      <w:pPr>
        <w:pStyle w:val="10"/>
        <w:ind w:firstLine="4320" w:firstLineChars="1200"/>
        <w:jc w:val="both"/>
        <w:rPr>
          <w:rFonts w:asciiTheme="majorEastAsia" w:hAnsiTheme="majorEastAsia" w:eastAsiaTheme="majorEastAsia" w:cstheme="majorEastAsia"/>
          <w:sz w:val="36"/>
          <w:szCs w:val="36"/>
        </w:rPr>
      </w:pPr>
    </w:p>
    <w:p>
      <w:pPr>
        <w:pStyle w:val="10"/>
        <w:ind w:firstLine="4320" w:firstLineChars="1200"/>
        <w:jc w:val="both"/>
        <w:rPr>
          <w:rFonts w:asciiTheme="majorEastAsia" w:hAnsiTheme="majorEastAsia" w:eastAsiaTheme="majorEastAsia" w:cstheme="majorEastAsia"/>
          <w:sz w:val="36"/>
          <w:szCs w:val="36"/>
        </w:rPr>
      </w:pPr>
    </w:p>
    <w:p>
      <w:pPr>
        <w:pStyle w:val="10"/>
        <w:ind w:firstLine="4320" w:firstLineChars="1200"/>
        <w:jc w:val="both"/>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第二部分</w:t>
      </w:r>
    </w:p>
    <w:p>
      <w:pPr>
        <w:pStyle w:val="10"/>
        <w:jc w:val="center"/>
        <w:rPr>
          <w:rFonts w:asciiTheme="majorEastAsia" w:hAnsiTheme="majorEastAsia" w:eastAsiaTheme="majorEastAsia" w:cstheme="majorEastAsia"/>
          <w:sz w:val="36"/>
          <w:szCs w:val="36"/>
        </w:rPr>
      </w:pPr>
    </w:p>
    <w:p>
      <w:pPr>
        <w:pStyle w:val="10"/>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2</w:t>
      </w:r>
      <w:r>
        <w:rPr>
          <w:rFonts w:asciiTheme="majorEastAsia" w:hAnsiTheme="majorEastAsia" w:eastAsiaTheme="majorEastAsia" w:cstheme="majorEastAsia"/>
          <w:sz w:val="36"/>
          <w:szCs w:val="36"/>
        </w:rPr>
        <w:t>022</w:t>
      </w:r>
      <w:r>
        <w:rPr>
          <w:rFonts w:hint="eastAsia" w:asciiTheme="majorEastAsia" w:hAnsiTheme="majorEastAsia" w:eastAsiaTheme="majorEastAsia" w:cstheme="majorEastAsia"/>
          <w:sz w:val="36"/>
          <w:szCs w:val="36"/>
        </w:rPr>
        <w:t>年度部门决算表</w:t>
      </w:r>
    </w:p>
    <w:p>
      <w:pPr>
        <w:jc w:val="center"/>
        <w:rPr>
          <w:sz w:val="36"/>
          <w:szCs w:val="36"/>
        </w:rPr>
      </w:pPr>
    </w:p>
    <w:p>
      <w:pPr>
        <w:ind w:firstLine="4480" w:firstLineChars="1400"/>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r>
        <w:rPr>
          <w:rFonts w:hint="eastAsia" w:asciiTheme="minorEastAsia" w:hAnsiTheme="minorEastAsia"/>
          <w:sz w:val="32"/>
          <w:szCs w:val="32"/>
        </w:rPr>
        <w:t>（见附件）</w:t>
      </w:r>
    </w:p>
    <w:p>
      <w:pPr>
        <w:pStyle w:val="10"/>
        <w:ind w:firstLine="4320" w:firstLineChars="1200"/>
        <w:rPr>
          <w:rFonts w:ascii="方正小标宋_GBK" w:hAnsi="方正小标宋_GBK" w:eastAsia="方正小标宋_GBK" w:cs="方正小标宋_GBK"/>
          <w:sz w:val="36"/>
          <w:szCs w:val="36"/>
        </w:rPr>
      </w:pPr>
      <w:bookmarkStart w:id="3" w:name="RANGE!A1:I22"/>
      <w:bookmarkEnd w:id="3"/>
      <w:r>
        <w:rPr>
          <w:rFonts w:hint="eastAsia" w:ascii="方正小标宋_GBK" w:hAnsi="方正小标宋_GBK" w:eastAsia="方正小标宋_GBK" w:cs="方正小标宋_GBK"/>
          <w:sz w:val="36"/>
          <w:szCs w:val="36"/>
        </w:rPr>
        <w:t>第三部分</w:t>
      </w:r>
    </w:p>
    <w:p>
      <w:pPr>
        <w:pStyle w:val="10"/>
        <w:jc w:val="center"/>
        <w:rPr>
          <w:rFonts w:ascii="方正小标宋_GBK" w:hAnsi="方正小标宋_GBK" w:eastAsia="方正小标宋_GBK" w:cs="方正小标宋_GBK"/>
          <w:sz w:val="36"/>
          <w:szCs w:val="36"/>
        </w:rPr>
      </w:pPr>
    </w:p>
    <w:p>
      <w:pPr>
        <w:pStyle w:val="1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2022年度部门决算情况说明</w:t>
      </w:r>
    </w:p>
    <w:p>
      <w:pPr>
        <w:widowControl/>
        <w:jc w:val="left"/>
        <w:rPr>
          <w:rFonts w:asciiTheme="minorEastAsia" w:hAnsiTheme="minorEastAsia"/>
          <w:b/>
          <w:sz w:val="32"/>
          <w:szCs w:val="32"/>
        </w:rPr>
      </w:pPr>
      <w:r>
        <w:rPr>
          <w:rFonts w:hint="eastAsia" w:asciiTheme="minorEastAsia" w:hAnsiTheme="minorEastAsia"/>
          <w:b/>
          <w:sz w:val="32"/>
          <w:szCs w:val="32"/>
        </w:rPr>
        <w:t>一、收入支出决算总体情况说明</w:t>
      </w:r>
    </w:p>
    <w:p>
      <w:pPr>
        <w:pStyle w:val="10"/>
        <w:spacing w:line="6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2022年度收、支总计</w:t>
      </w:r>
      <w:r>
        <w:rPr>
          <w:rFonts w:asciiTheme="majorEastAsia" w:hAnsiTheme="majorEastAsia" w:eastAsiaTheme="majorEastAsia"/>
          <w:sz w:val="28"/>
          <w:szCs w:val="28"/>
        </w:rPr>
        <w:t>308.11</w:t>
      </w:r>
      <w:r>
        <w:rPr>
          <w:rFonts w:hint="eastAsia" w:asciiTheme="majorEastAsia" w:hAnsiTheme="majorEastAsia" w:eastAsiaTheme="majorEastAsia"/>
          <w:sz w:val="28"/>
          <w:szCs w:val="28"/>
        </w:rPr>
        <w:t>万元。与上年相比，增加</w:t>
      </w:r>
      <w:r>
        <w:rPr>
          <w:rFonts w:asciiTheme="majorEastAsia" w:hAnsiTheme="majorEastAsia" w:eastAsiaTheme="majorEastAsia"/>
          <w:sz w:val="28"/>
          <w:szCs w:val="28"/>
        </w:rPr>
        <w:t>29.05</w:t>
      </w:r>
      <w:r>
        <w:rPr>
          <w:rFonts w:hint="eastAsia" w:asciiTheme="majorEastAsia" w:hAnsiTheme="majorEastAsia" w:eastAsiaTheme="majorEastAsia"/>
          <w:sz w:val="28"/>
          <w:szCs w:val="28"/>
        </w:rPr>
        <w:t>万元，增长9</w:t>
      </w:r>
      <w:r>
        <w:rPr>
          <w:rFonts w:asciiTheme="majorEastAsia" w:hAnsiTheme="majorEastAsia" w:eastAsiaTheme="majorEastAsia"/>
          <w:sz w:val="28"/>
          <w:szCs w:val="28"/>
        </w:rPr>
        <w:t>.42</w:t>
      </w:r>
      <w:r>
        <w:rPr>
          <w:rFonts w:hint="eastAsia" w:asciiTheme="majorEastAsia" w:hAnsiTheme="majorEastAsia" w:eastAsiaTheme="majorEastAsia"/>
          <w:sz w:val="28"/>
          <w:szCs w:val="28"/>
        </w:rPr>
        <w:t>%，主要是因为</w:t>
      </w:r>
      <w:r>
        <w:rPr>
          <w:rFonts w:asciiTheme="majorEastAsia" w:hAnsiTheme="majorEastAsia" w:eastAsiaTheme="majorEastAsia"/>
          <w:sz w:val="28"/>
          <w:szCs w:val="28"/>
        </w:rPr>
        <w:t>2022</w:t>
      </w:r>
      <w:r>
        <w:rPr>
          <w:rFonts w:hint="eastAsia" w:asciiTheme="majorEastAsia" w:hAnsiTheme="majorEastAsia" w:eastAsiaTheme="majorEastAsia"/>
          <w:sz w:val="28"/>
          <w:szCs w:val="28"/>
        </w:rPr>
        <w:t>年度</w:t>
      </w:r>
      <w:r>
        <w:rPr>
          <w:rFonts w:hint="eastAsia" w:asciiTheme="majorEastAsia" w:hAnsiTheme="majorEastAsia" w:eastAsiaTheme="majorEastAsia"/>
          <w:sz w:val="28"/>
          <w:szCs w:val="28"/>
          <w:lang w:eastAsia="zh-CN"/>
        </w:rPr>
        <w:t>职工工资基数调增，</w:t>
      </w:r>
      <w:r>
        <w:rPr>
          <w:rFonts w:hint="eastAsia" w:asciiTheme="majorEastAsia" w:hAnsiTheme="majorEastAsia" w:eastAsiaTheme="majorEastAsia"/>
          <w:sz w:val="28"/>
          <w:szCs w:val="28"/>
        </w:rPr>
        <w:t>幼儿</w:t>
      </w:r>
      <w:r>
        <w:rPr>
          <w:rFonts w:hint="eastAsia" w:asciiTheme="majorEastAsia" w:hAnsiTheme="majorEastAsia" w:eastAsiaTheme="majorEastAsia"/>
          <w:sz w:val="28"/>
          <w:szCs w:val="28"/>
          <w:lang w:eastAsia="zh-CN"/>
        </w:rPr>
        <w:t>招生人数</w:t>
      </w:r>
      <w:r>
        <w:rPr>
          <w:rFonts w:hint="eastAsia" w:asciiTheme="majorEastAsia" w:hAnsiTheme="majorEastAsia" w:eastAsiaTheme="majorEastAsia"/>
          <w:sz w:val="28"/>
          <w:szCs w:val="28"/>
        </w:rPr>
        <w:t>比2</w:t>
      </w:r>
      <w:r>
        <w:rPr>
          <w:rFonts w:asciiTheme="majorEastAsia" w:hAnsiTheme="majorEastAsia" w:eastAsiaTheme="majorEastAsia"/>
          <w:sz w:val="28"/>
          <w:szCs w:val="28"/>
        </w:rPr>
        <w:t>021</w:t>
      </w:r>
      <w:r>
        <w:rPr>
          <w:rFonts w:hint="eastAsia" w:asciiTheme="majorEastAsia" w:hAnsiTheme="majorEastAsia" w:eastAsiaTheme="majorEastAsia"/>
          <w:sz w:val="28"/>
          <w:szCs w:val="28"/>
        </w:rPr>
        <w:t>年度有增加</w:t>
      </w:r>
    </w:p>
    <w:p>
      <w:pPr>
        <w:pStyle w:val="10"/>
        <w:spacing w:line="600" w:lineRule="exact"/>
        <w:rPr>
          <w:rFonts w:asciiTheme="majorEastAsia" w:hAnsiTheme="majorEastAsia" w:eastAsiaTheme="majorEastAsia"/>
          <w:b/>
          <w:sz w:val="32"/>
          <w:szCs w:val="32"/>
        </w:rPr>
      </w:pPr>
      <w:r>
        <w:rPr>
          <w:rFonts w:hint="eastAsia" w:asciiTheme="majorEastAsia" w:hAnsiTheme="majorEastAsia" w:eastAsiaTheme="majorEastAsia"/>
          <w:b/>
          <w:sz w:val="32"/>
          <w:szCs w:val="32"/>
        </w:rPr>
        <w:t>二、收入决算情况说明</w:t>
      </w:r>
    </w:p>
    <w:p>
      <w:pPr>
        <w:pStyle w:val="10"/>
        <w:spacing w:line="6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2022年度收入合计</w:t>
      </w:r>
      <w:r>
        <w:rPr>
          <w:rFonts w:asciiTheme="majorEastAsia" w:hAnsiTheme="majorEastAsia" w:eastAsiaTheme="majorEastAsia"/>
          <w:sz w:val="28"/>
          <w:szCs w:val="28"/>
        </w:rPr>
        <w:t>308.11</w:t>
      </w:r>
      <w:r>
        <w:rPr>
          <w:rFonts w:hint="eastAsia" w:asciiTheme="majorEastAsia" w:hAnsiTheme="majorEastAsia" w:eastAsiaTheme="majorEastAsia"/>
          <w:sz w:val="28"/>
          <w:szCs w:val="28"/>
        </w:rPr>
        <w:t>万元，其中：财政拨款收入</w:t>
      </w:r>
      <w:r>
        <w:rPr>
          <w:rFonts w:asciiTheme="majorEastAsia" w:hAnsiTheme="majorEastAsia" w:eastAsiaTheme="majorEastAsia"/>
          <w:sz w:val="28"/>
          <w:szCs w:val="28"/>
        </w:rPr>
        <w:t>206.91</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67.15</w:t>
      </w:r>
      <w:r>
        <w:rPr>
          <w:rFonts w:hint="eastAsia" w:asciiTheme="majorEastAsia" w:hAnsiTheme="majorEastAsia" w:eastAsiaTheme="majorEastAsia"/>
          <w:sz w:val="28"/>
          <w:szCs w:val="28"/>
        </w:rPr>
        <w:t>%；上级补助收入</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%；事业收入</w:t>
      </w:r>
      <w:r>
        <w:rPr>
          <w:rFonts w:asciiTheme="majorEastAsia" w:hAnsiTheme="majorEastAsia" w:eastAsiaTheme="majorEastAsia"/>
          <w:sz w:val="28"/>
          <w:szCs w:val="28"/>
        </w:rPr>
        <w:t>101.2</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32.85</w:t>
      </w:r>
      <w:r>
        <w:rPr>
          <w:rFonts w:hint="eastAsia" w:asciiTheme="majorEastAsia" w:hAnsiTheme="majorEastAsia" w:eastAsiaTheme="majorEastAsia"/>
          <w:sz w:val="28"/>
          <w:szCs w:val="28"/>
        </w:rPr>
        <w:t>%；经营收入</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%；附属单位上缴收入</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%；其他收入</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w:t>
      </w:r>
    </w:p>
    <w:p>
      <w:pPr>
        <w:pStyle w:val="10"/>
        <w:spacing w:line="600" w:lineRule="exact"/>
        <w:rPr>
          <w:rFonts w:hAnsi="黑体"/>
          <w:bCs/>
          <w:sz w:val="32"/>
          <w:szCs w:val="32"/>
        </w:rPr>
      </w:pPr>
      <w:r>
        <w:rPr>
          <w:rFonts w:hint="eastAsia" w:hAnsi="黑体"/>
          <w:bCs/>
          <w:sz w:val="32"/>
          <w:szCs w:val="32"/>
        </w:rPr>
        <w:t>三、支出决算情况说明</w:t>
      </w:r>
    </w:p>
    <w:p>
      <w:pPr>
        <w:pStyle w:val="10"/>
        <w:spacing w:line="6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2022年度支出合计</w:t>
      </w:r>
      <w:r>
        <w:rPr>
          <w:rFonts w:asciiTheme="majorEastAsia" w:hAnsiTheme="majorEastAsia" w:eastAsiaTheme="majorEastAsia"/>
          <w:sz w:val="28"/>
          <w:szCs w:val="28"/>
        </w:rPr>
        <w:t>308.11</w:t>
      </w:r>
      <w:r>
        <w:rPr>
          <w:rFonts w:hint="eastAsia" w:asciiTheme="majorEastAsia" w:hAnsiTheme="majorEastAsia" w:eastAsiaTheme="majorEastAsia"/>
          <w:sz w:val="28"/>
          <w:szCs w:val="28"/>
        </w:rPr>
        <w:t>万元，其中：基本支出</w:t>
      </w:r>
      <w:r>
        <w:rPr>
          <w:rFonts w:asciiTheme="majorEastAsia" w:hAnsiTheme="majorEastAsia" w:eastAsiaTheme="majorEastAsia"/>
          <w:sz w:val="28"/>
          <w:szCs w:val="28"/>
        </w:rPr>
        <w:t>308.11</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100</w:t>
      </w:r>
      <w:r>
        <w:rPr>
          <w:rFonts w:hint="eastAsia" w:asciiTheme="majorEastAsia" w:hAnsiTheme="majorEastAsia" w:eastAsiaTheme="majorEastAsia"/>
          <w:sz w:val="28"/>
          <w:szCs w:val="28"/>
        </w:rPr>
        <w:t>%；项目支出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%；上缴上级支出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%；经营支出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%；对附属单位补助支出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w:t>
      </w:r>
    </w:p>
    <w:p>
      <w:pPr>
        <w:pStyle w:val="10"/>
        <w:spacing w:line="600" w:lineRule="exact"/>
        <w:rPr>
          <w:rFonts w:hAnsi="黑体"/>
          <w:bCs/>
          <w:sz w:val="32"/>
          <w:szCs w:val="32"/>
        </w:rPr>
      </w:pPr>
      <w:r>
        <w:rPr>
          <w:rFonts w:hint="eastAsia" w:hAnsi="黑体"/>
          <w:bCs/>
          <w:sz w:val="32"/>
          <w:szCs w:val="32"/>
        </w:rPr>
        <w:t>四、财政拨款收入支出决算总体情况说明</w:t>
      </w:r>
    </w:p>
    <w:p>
      <w:pPr>
        <w:pStyle w:val="10"/>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宋体" w:hAnsi="宋体" w:eastAsia="宋体" w:cs="宋体"/>
          <w:sz w:val="28"/>
          <w:szCs w:val="28"/>
        </w:rPr>
        <w:t xml:space="preserve"> 2022年度财政拨款收、支总计206.91万元，与上年相比，增加16.85万元,增长8%，主要是因为</w:t>
      </w:r>
      <w:bookmarkStart w:id="4" w:name="_Hlk143420010"/>
      <w:r>
        <w:rPr>
          <w:rFonts w:hint="eastAsia" w:ascii="宋体" w:hAnsi="宋体" w:eastAsia="宋体" w:cs="宋体"/>
          <w:sz w:val="28"/>
          <w:szCs w:val="28"/>
        </w:rPr>
        <w:t>2022年度</w:t>
      </w:r>
      <w:r>
        <w:rPr>
          <w:rFonts w:hint="eastAsia" w:ascii="宋体" w:hAnsi="宋体" w:eastAsia="宋体" w:cs="宋体"/>
          <w:sz w:val="28"/>
          <w:szCs w:val="28"/>
          <w:lang w:eastAsia="zh-CN"/>
        </w:rPr>
        <w:t>职工</w:t>
      </w:r>
      <w:r>
        <w:rPr>
          <w:rFonts w:hint="eastAsia" w:ascii="宋体" w:hAnsi="宋体" w:eastAsia="宋体" w:cs="宋体"/>
          <w:sz w:val="28"/>
          <w:szCs w:val="28"/>
        </w:rPr>
        <w:t>工资基数</w:t>
      </w:r>
      <w:r>
        <w:rPr>
          <w:rFonts w:hint="eastAsia" w:ascii="宋体" w:hAnsi="宋体" w:eastAsia="宋体" w:cs="宋体"/>
          <w:sz w:val="28"/>
          <w:szCs w:val="28"/>
          <w:lang w:eastAsia="zh-CN"/>
        </w:rPr>
        <w:t>调</w:t>
      </w:r>
      <w:r>
        <w:rPr>
          <w:rFonts w:hint="eastAsia" w:ascii="宋体" w:hAnsi="宋体" w:eastAsia="宋体" w:cs="宋体"/>
          <w:sz w:val="28"/>
          <w:szCs w:val="28"/>
        </w:rPr>
        <w:t>增</w:t>
      </w:r>
      <w:bookmarkEnd w:id="4"/>
      <w:r>
        <w:rPr>
          <w:rFonts w:hint="eastAsia" w:ascii="宋体" w:hAnsi="宋体" w:eastAsia="宋体" w:cs="宋体"/>
          <w:sz w:val="28"/>
          <w:szCs w:val="28"/>
        </w:rPr>
        <w:t>。</w:t>
      </w:r>
    </w:p>
    <w:p>
      <w:pPr>
        <w:pStyle w:val="10"/>
        <w:spacing w:line="6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五、一般公共预算财政拨款支出决算情况说明</w:t>
      </w:r>
    </w:p>
    <w:p>
      <w:pPr>
        <w:pStyle w:val="10"/>
        <w:spacing w:line="600" w:lineRule="exact"/>
        <w:rPr>
          <w:rFonts w:hint="eastAsia" w:ascii="宋体" w:hAnsi="宋体" w:eastAsia="宋体" w:cs="宋体"/>
          <w:bCs/>
          <w:sz w:val="32"/>
          <w:szCs w:val="32"/>
        </w:rPr>
      </w:pPr>
      <w:r>
        <w:rPr>
          <w:rFonts w:hint="eastAsia" w:ascii="宋体" w:hAnsi="宋体" w:eastAsia="宋体" w:cs="宋体"/>
          <w:bCs/>
          <w:sz w:val="32"/>
          <w:szCs w:val="32"/>
        </w:rPr>
        <w:t>（一）财政拨款支出决算总体情况</w:t>
      </w:r>
    </w:p>
    <w:p>
      <w:pPr>
        <w:pStyle w:val="10"/>
        <w:spacing w:line="600" w:lineRule="exact"/>
        <w:ind w:firstLine="700" w:firstLineChars="250"/>
        <w:rPr>
          <w:rFonts w:asciiTheme="majorEastAsia" w:hAnsiTheme="majorEastAsia" w:eastAsiaTheme="majorEastAsia"/>
          <w:sz w:val="28"/>
          <w:szCs w:val="28"/>
        </w:rPr>
      </w:pPr>
      <w:r>
        <w:rPr>
          <w:rFonts w:hint="eastAsia" w:asciiTheme="majorEastAsia" w:hAnsiTheme="majorEastAsia" w:eastAsiaTheme="majorEastAsia"/>
          <w:sz w:val="28"/>
          <w:szCs w:val="28"/>
        </w:rPr>
        <w:t>2022年度财政拨款支出</w:t>
      </w:r>
      <w:r>
        <w:rPr>
          <w:rFonts w:asciiTheme="majorEastAsia" w:hAnsiTheme="majorEastAsia" w:eastAsiaTheme="majorEastAsia"/>
          <w:sz w:val="28"/>
          <w:szCs w:val="28"/>
        </w:rPr>
        <w:t>206.91</w:t>
      </w:r>
      <w:r>
        <w:rPr>
          <w:rFonts w:hint="eastAsia" w:asciiTheme="majorEastAsia" w:hAnsiTheme="majorEastAsia" w:eastAsiaTheme="majorEastAsia"/>
          <w:sz w:val="28"/>
          <w:szCs w:val="28"/>
        </w:rPr>
        <w:t>万元，占本年支出合计的</w:t>
      </w:r>
      <w:r>
        <w:rPr>
          <w:rFonts w:hint="eastAsia" w:asciiTheme="majorEastAsia" w:hAnsiTheme="majorEastAsia" w:eastAsiaTheme="majorEastAsia"/>
          <w:sz w:val="28"/>
          <w:szCs w:val="28"/>
          <w:lang w:val="en-US" w:eastAsia="zh-CN"/>
        </w:rPr>
        <w:t>100</w:t>
      </w:r>
      <w:r>
        <w:rPr>
          <w:rFonts w:hint="eastAsia" w:asciiTheme="majorEastAsia" w:hAnsiTheme="majorEastAsia" w:eastAsiaTheme="majorEastAsia"/>
          <w:sz w:val="28"/>
          <w:szCs w:val="28"/>
        </w:rPr>
        <w:t>%，与上年相比，财政拨款支出增加</w:t>
      </w:r>
      <w:r>
        <w:rPr>
          <w:rFonts w:asciiTheme="majorEastAsia" w:hAnsiTheme="majorEastAsia" w:eastAsiaTheme="majorEastAsia"/>
          <w:sz w:val="28"/>
          <w:szCs w:val="28"/>
        </w:rPr>
        <w:t>16.85</w:t>
      </w:r>
      <w:r>
        <w:rPr>
          <w:rFonts w:hint="eastAsia" w:asciiTheme="majorEastAsia" w:hAnsiTheme="majorEastAsia" w:eastAsiaTheme="majorEastAsia"/>
          <w:sz w:val="28"/>
          <w:szCs w:val="28"/>
        </w:rPr>
        <w:t>万元，增长8%，主要是因为2</w:t>
      </w:r>
      <w:r>
        <w:rPr>
          <w:rFonts w:asciiTheme="majorEastAsia" w:hAnsiTheme="majorEastAsia" w:eastAsiaTheme="majorEastAsia"/>
          <w:sz w:val="28"/>
          <w:szCs w:val="28"/>
        </w:rPr>
        <w:t>022</w:t>
      </w:r>
      <w:r>
        <w:rPr>
          <w:rFonts w:hint="eastAsia" w:asciiTheme="majorEastAsia" w:hAnsiTheme="majorEastAsia" w:eastAsiaTheme="majorEastAsia"/>
          <w:sz w:val="28"/>
          <w:szCs w:val="28"/>
        </w:rPr>
        <w:t>年度</w:t>
      </w:r>
      <w:r>
        <w:rPr>
          <w:rFonts w:hint="eastAsia" w:asciiTheme="majorEastAsia" w:hAnsiTheme="majorEastAsia" w:eastAsiaTheme="majorEastAsia"/>
          <w:sz w:val="28"/>
          <w:szCs w:val="28"/>
          <w:lang w:eastAsia="zh-CN"/>
        </w:rPr>
        <w:t>在编职工</w:t>
      </w:r>
      <w:r>
        <w:rPr>
          <w:rFonts w:hint="eastAsia" w:asciiTheme="majorEastAsia" w:hAnsiTheme="majorEastAsia" w:eastAsiaTheme="majorEastAsia"/>
          <w:sz w:val="28"/>
          <w:szCs w:val="28"/>
        </w:rPr>
        <w:t>工资基数增加。</w:t>
      </w:r>
    </w:p>
    <w:p>
      <w:pPr>
        <w:pStyle w:val="10"/>
        <w:spacing w:line="600" w:lineRule="exact"/>
        <w:rPr>
          <w:rFonts w:hint="eastAsia" w:ascii="宋体" w:hAnsi="宋体" w:eastAsia="宋体" w:cs="宋体"/>
          <w:bCs/>
          <w:sz w:val="32"/>
          <w:szCs w:val="32"/>
        </w:rPr>
      </w:pPr>
      <w:r>
        <w:rPr>
          <w:rFonts w:hint="eastAsia" w:ascii="楷体" w:hAnsi="楷体" w:eastAsia="楷体" w:cs="楷体"/>
          <w:bCs/>
          <w:sz w:val="32"/>
          <w:szCs w:val="32"/>
        </w:rPr>
        <w:t>（</w:t>
      </w:r>
      <w:r>
        <w:rPr>
          <w:rFonts w:hint="eastAsia" w:ascii="宋体" w:hAnsi="宋体" w:eastAsia="宋体" w:cs="宋体"/>
          <w:bCs/>
          <w:sz w:val="32"/>
          <w:szCs w:val="32"/>
        </w:rPr>
        <w:t>二）财政拨款支出决算结构情况</w:t>
      </w:r>
    </w:p>
    <w:p>
      <w:pPr>
        <w:pStyle w:val="10"/>
        <w:spacing w:line="600" w:lineRule="exact"/>
        <w:ind w:firstLine="560" w:firstLineChars="200"/>
        <w:rPr>
          <w:rFonts w:hint="eastAsia" w:ascii="宋体" w:hAnsi="宋体" w:eastAsia="宋体"/>
          <w:sz w:val="28"/>
          <w:szCs w:val="28"/>
        </w:rPr>
      </w:pPr>
      <w:r>
        <w:rPr>
          <w:rFonts w:hint="eastAsia" w:ascii="宋体" w:hAnsi="宋体" w:eastAsia="宋体"/>
          <w:sz w:val="28"/>
          <w:szCs w:val="28"/>
        </w:rPr>
        <w:t>2022年度财政拨款支出</w:t>
      </w:r>
      <w:r>
        <w:rPr>
          <w:rFonts w:ascii="宋体" w:hAnsi="宋体" w:eastAsia="宋体"/>
          <w:sz w:val="28"/>
          <w:szCs w:val="28"/>
        </w:rPr>
        <w:t>206.91</w:t>
      </w:r>
      <w:r>
        <w:rPr>
          <w:rFonts w:hint="eastAsia" w:ascii="宋体" w:hAnsi="宋体" w:eastAsia="宋体"/>
          <w:sz w:val="28"/>
          <w:szCs w:val="28"/>
        </w:rPr>
        <w:t>万元，主要用于以下方面：</w:t>
      </w:r>
    </w:p>
    <w:p>
      <w:pPr>
        <w:pStyle w:val="10"/>
        <w:numPr>
          <w:ilvl w:val="0"/>
          <w:numId w:val="2"/>
        </w:numPr>
        <w:spacing w:line="60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rPr>
        <w:t>一般公共服务（类）支出</w:t>
      </w:r>
      <w:r>
        <w:rPr>
          <w:rFonts w:ascii="宋体" w:hAnsi="宋体" w:eastAsia="宋体"/>
          <w:sz w:val="28"/>
          <w:szCs w:val="28"/>
        </w:rPr>
        <w:t>0</w:t>
      </w:r>
      <w:r>
        <w:rPr>
          <w:rFonts w:hint="eastAsia" w:ascii="宋体" w:hAnsi="宋体" w:eastAsia="宋体"/>
          <w:sz w:val="28"/>
          <w:szCs w:val="28"/>
        </w:rPr>
        <w:t>万元，占</w:t>
      </w:r>
      <w:r>
        <w:rPr>
          <w:rFonts w:ascii="宋体" w:hAnsi="宋体" w:eastAsia="宋体"/>
          <w:sz w:val="28"/>
          <w:szCs w:val="28"/>
        </w:rPr>
        <w:t>0</w:t>
      </w:r>
      <w:r>
        <w:rPr>
          <w:rFonts w:hint="eastAsia" w:ascii="宋体" w:hAnsi="宋体" w:eastAsia="宋体"/>
          <w:sz w:val="28"/>
          <w:szCs w:val="28"/>
        </w:rPr>
        <w:t>%</w:t>
      </w:r>
      <w:r>
        <w:rPr>
          <w:rFonts w:hint="eastAsia" w:ascii="宋体" w:hAnsi="宋体" w:eastAsia="宋体"/>
          <w:sz w:val="28"/>
          <w:szCs w:val="28"/>
          <w:lang w:eastAsia="zh-CN"/>
        </w:rPr>
        <w:t>。</w:t>
      </w:r>
    </w:p>
    <w:p>
      <w:pPr>
        <w:pStyle w:val="10"/>
        <w:numPr>
          <w:ilvl w:val="0"/>
          <w:numId w:val="2"/>
        </w:numPr>
        <w:spacing w:line="600" w:lineRule="exact"/>
        <w:ind w:firstLine="560" w:firstLineChars="200"/>
        <w:rPr>
          <w:rFonts w:ascii="宋体" w:hAnsi="宋体" w:eastAsia="宋体"/>
          <w:sz w:val="28"/>
          <w:szCs w:val="28"/>
        </w:rPr>
      </w:pPr>
      <w:r>
        <w:rPr>
          <w:rFonts w:hint="eastAsia" w:ascii="宋体" w:hAnsi="宋体" w:eastAsia="宋体"/>
          <w:sz w:val="28"/>
          <w:szCs w:val="28"/>
        </w:rPr>
        <w:t>教育</w:t>
      </w:r>
      <w:r>
        <w:rPr>
          <w:rFonts w:hint="eastAsia" w:ascii="宋体" w:hAnsi="宋体" w:eastAsia="宋体"/>
          <w:sz w:val="28"/>
          <w:szCs w:val="28"/>
          <w:lang w:eastAsia="zh-CN"/>
        </w:rPr>
        <w:t>支出</w:t>
      </w:r>
      <w:r>
        <w:rPr>
          <w:rFonts w:hint="eastAsia" w:ascii="宋体" w:hAnsi="宋体" w:eastAsia="宋体"/>
          <w:sz w:val="28"/>
          <w:szCs w:val="28"/>
        </w:rPr>
        <w:t>（类）</w:t>
      </w:r>
      <w:r>
        <w:rPr>
          <w:rFonts w:hint="eastAsia" w:ascii="宋体" w:hAnsi="宋体" w:eastAsia="宋体"/>
          <w:sz w:val="28"/>
          <w:szCs w:val="28"/>
          <w:lang w:eastAsia="zh-CN"/>
        </w:rPr>
        <w:t>普通教育（款）学前教育（项）</w:t>
      </w:r>
      <w:r>
        <w:rPr>
          <w:rFonts w:hint="eastAsia" w:ascii="宋体" w:hAnsi="宋体" w:eastAsia="宋体"/>
          <w:sz w:val="28"/>
          <w:szCs w:val="28"/>
        </w:rPr>
        <w:t>支出</w:t>
      </w:r>
      <w:r>
        <w:rPr>
          <w:rFonts w:ascii="宋体" w:hAnsi="宋体" w:eastAsia="宋体"/>
          <w:sz w:val="28"/>
          <w:szCs w:val="28"/>
        </w:rPr>
        <w:t>206.91</w:t>
      </w:r>
      <w:r>
        <w:rPr>
          <w:rFonts w:hint="eastAsia" w:ascii="宋体" w:hAnsi="宋体" w:eastAsia="宋体"/>
          <w:sz w:val="28"/>
          <w:szCs w:val="28"/>
        </w:rPr>
        <w:t>万元，占</w:t>
      </w:r>
      <w:r>
        <w:rPr>
          <w:rFonts w:ascii="宋体" w:hAnsi="宋体" w:eastAsia="宋体"/>
          <w:sz w:val="28"/>
          <w:szCs w:val="28"/>
        </w:rPr>
        <w:t>100</w:t>
      </w:r>
      <w:r>
        <w:rPr>
          <w:rFonts w:hint="eastAsia" w:ascii="宋体" w:hAnsi="宋体" w:eastAsia="宋体"/>
          <w:sz w:val="28"/>
          <w:szCs w:val="28"/>
        </w:rPr>
        <w:t>%</w:t>
      </w:r>
      <w:r>
        <w:rPr>
          <w:rFonts w:hint="eastAsia" w:ascii="宋体" w:hAnsi="宋体" w:eastAsia="宋体" w:cs="楷体"/>
          <w:b/>
          <w:bCs/>
          <w:i/>
          <w:color w:val="auto"/>
          <w:sz w:val="28"/>
          <w:szCs w:val="28"/>
        </w:rPr>
        <w:t>。</w:t>
      </w:r>
    </w:p>
    <w:p>
      <w:pPr>
        <w:pStyle w:val="10"/>
        <w:spacing w:line="600" w:lineRule="exact"/>
        <w:rPr>
          <w:rFonts w:ascii="楷体" w:hAnsi="楷体" w:eastAsia="楷体" w:cs="楷体"/>
          <w:bCs/>
          <w:sz w:val="32"/>
          <w:szCs w:val="32"/>
        </w:rPr>
      </w:pPr>
      <w:r>
        <w:rPr>
          <w:rFonts w:hint="eastAsia" w:ascii="楷体" w:hAnsi="楷体" w:eastAsia="楷体" w:cs="楷体"/>
          <w:bCs/>
          <w:sz w:val="32"/>
          <w:szCs w:val="32"/>
        </w:rPr>
        <w:t>（</w:t>
      </w:r>
      <w:r>
        <w:rPr>
          <w:rFonts w:hint="eastAsia" w:ascii="宋体" w:hAnsi="宋体" w:eastAsia="宋体" w:cs="宋体"/>
          <w:bCs/>
          <w:sz w:val="32"/>
          <w:szCs w:val="32"/>
        </w:rPr>
        <w:t>三）财政拨款支出决算具体情况</w:t>
      </w:r>
    </w:p>
    <w:p>
      <w:pPr>
        <w:pStyle w:val="10"/>
        <w:spacing w:line="600" w:lineRule="exact"/>
        <w:ind w:firstLine="700" w:firstLineChars="250"/>
        <w:rPr>
          <w:rFonts w:asciiTheme="majorEastAsia" w:hAnsiTheme="majorEastAsia" w:eastAsiaTheme="majorEastAsia"/>
          <w:sz w:val="28"/>
          <w:szCs w:val="28"/>
        </w:rPr>
      </w:pPr>
      <w:r>
        <w:rPr>
          <w:rFonts w:hint="eastAsia" w:asciiTheme="majorEastAsia" w:hAnsiTheme="majorEastAsia" w:eastAsiaTheme="majorEastAsia"/>
          <w:sz w:val="28"/>
          <w:szCs w:val="28"/>
        </w:rPr>
        <w:t>2022年度财政拨款支出年初预算数为</w:t>
      </w:r>
      <w:r>
        <w:rPr>
          <w:rFonts w:asciiTheme="majorEastAsia" w:hAnsiTheme="majorEastAsia" w:eastAsiaTheme="majorEastAsia"/>
          <w:sz w:val="28"/>
          <w:szCs w:val="28"/>
        </w:rPr>
        <w:t>188</w:t>
      </w:r>
      <w:r>
        <w:rPr>
          <w:rFonts w:hint="eastAsia" w:asciiTheme="majorEastAsia" w:hAnsiTheme="majorEastAsia" w:eastAsiaTheme="majorEastAsia"/>
          <w:sz w:val="28"/>
          <w:szCs w:val="28"/>
        </w:rPr>
        <w:t>万元，支出决算数为</w:t>
      </w:r>
      <w:r>
        <w:rPr>
          <w:rFonts w:asciiTheme="majorEastAsia" w:hAnsiTheme="majorEastAsia" w:eastAsiaTheme="majorEastAsia"/>
          <w:sz w:val="28"/>
          <w:szCs w:val="28"/>
        </w:rPr>
        <w:t>206.91</w:t>
      </w:r>
      <w:r>
        <w:rPr>
          <w:rFonts w:hint="eastAsia" w:asciiTheme="majorEastAsia" w:hAnsiTheme="majorEastAsia" w:eastAsiaTheme="majorEastAsia"/>
          <w:sz w:val="28"/>
          <w:szCs w:val="28"/>
        </w:rPr>
        <w:t>万元，完成年初预算的</w:t>
      </w:r>
      <w:r>
        <w:rPr>
          <w:rFonts w:asciiTheme="majorEastAsia" w:hAnsiTheme="majorEastAsia" w:eastAsiaTheme="majorEastAsia"/>
          <w:sz w:val="28"/>
          <w:szCs w:val="28"/>
        </w:rPr>
        <w:t>100</w:t>
      </w:r>
      <w:r>
        <w:rPr>
          <w:rFonts w:hint="eastAsia" w:asciiTheme="majorEastAsia" w:hAnsiTheme="majorEastAsia" w:eastAsiaTheme="majorEastAsia"/>
          <w:sz w:val="28"/>
          <w:szCs w:val="28"/>
        </w:rPr>
        <w:t>%，其中：一般公共预算财政拨款教育支出</w:t>
      </w:r>
      <w:r>
        <w:rPr>
          <w:rFonts w:hint="eastAsia" w:asciiTheme="majorEastAsia" w:hAnsiTheme="majorEastAsia" w:eastAsiaTheme="majorEastAsia"/>
          <w:sz w:val="28"/>
          <w:szCs w:val="28"/>
          <w:lang w:eastAsia="zh-CN"/>
        </w:rPr>
        <w:t>（类）普通教育（款）学前教育（项）</w:t>
      </w:r>
      <w:r>
        <w:rPr>
          <w:rFonts w:hint="eastAsia" w:asciiTheme="majorEastAsia" w:hAnsiTheme="majorEastAsia" w:eastAsiaTheme="majorEastAsia"/>
          <w:sz w:val="28"/>
          <w:szCs w:val="28"/>
        </w:rPr>
        <w:t>年初预算为</w:t>
      </w:r>
      <w:r>
        <w:rPr>
          <w:rFonts w:asciiTheme="majorEastAsia" w:hAnsiTheme="majorEastAsia" w:eastAsiaTheme="majorEastAsia"/>
          <w:sz w:val="28"/>
          <w:szCs w:val="28"/>
        </w:rPr>
        <w:t>188</w:t>
      </w:r>
      <w:r>
        <w:rPr>
          <w:rFonts w:hint="eastAsia" w:asciiTheme="majorEastAsia" w:hAnsiTheme="majorEastAsia" w:eastAsiaTheme="majorEastAsia"/>
          <w:sz w:val="28"/>
          <w:szCs w:val="28"/>
        </w:rPr>
        <w:t>万元，支出决算为</w:t>
      </w:r>
      <w:r>
        <w:rPr>
          <w:rFonts w:asciiTheme="majorEastAsia" w:hAnsiTheme="majorEastAsia" w:eastAsiaTheme="majorEastAsia"/>
          <w:sz w:val="28"/>
          <w:szCs w:val="28"/>
        </w:rPr>
        <w:t>206.91</w:t>
      </w:r>
      <w:r>
        <w:rPr>
          <w:rFonts w:hint="eastAsia" w:asciiTheme="majorEastAsia" w:hAnsiTheme="majorEastAsia" w:eastAsiaTheme="majorEastAsia"/>
          <w:sz w:val="28"/>
          <w:szCs w:val="28"/>
        </w:rPr>
        <w:t>万元，完成年初预算的</w:t>
      </w:r>
      <w:r>
        <w:rPr>
          <w:rFonts w:asciiTheme="majorEastAsia" w:hAnsiTheme="majorEastAsia" w:eastAsiaTheme="majorEastAsia"/>
          <w:sz w:val="28"/>
          <w:szCs w:val="28"/>
        </w:rPr>
        <w:t>100</w:t>
      </w:r>
      <w:r>
        <w:rPr>
          <w:rFonts w:hint="eastAsia" w:asciiTheme="majorEastAsia" w:hAnsiTheme="majorEastAsia" w:eastAsiaTheme="majorEastAsia"/>
          <w:sz w:val="28"/>
          <w:szCs w:val="28"/>
        </w:rPr>
        <w:t>%，决算数大于年初预算数的主要原因是：</w:t>
      </w:r>
      <w:r>
        <w:rPr>
          <w:rFonts w:asciiTheme="majorEastAsia" w:hAnsiTheme="majorEastAsia" w:eastAsiaTheme="majorEastAsia"/>
          <w:sz w:val="28"/>
          <w:szCs w:val="28"/>
        </w:rPr>
        <w:t>2022</w:t>
      </w:r>
      <w:r>
        <w:rPr>
          <w:rFonts w:hint="eastAsia" w:asciiTheme="majorEastAsia" w:hAnsiTheme="majorEastAsia" w:eastAsiaTheme="majorEastAsia"/>
          <w:sz w:val="28"/>
          <w:szCs w:val="28"/>
        </w:rPr>
        <w:t>年度在</w:t>
      </w:r>
      <w:r>
        <w:rPr>
          <w:rFonts w:hint="eastAsia" w:asciiTheme="majorEastAsia" w:hAnsiTheme="majorEastAsia" w:eastAsiaTheme="majorEastAsia"/>
          <w:sz w:val="28"/>
          <w:szCs w:val="28"/>
          <w:lang w:eastAsia="zh-CN"/>
        </w:rPr>
        <w:t>编</w:t>
      </w:r>
      <w:r>
        <w:rPr>
          <w:rFonts w:hint="eastAsia" w:asciiTheme="majorEastAsia" w:hAnsiTheme="majorEastAsia" w:eastAsiaTheme="majorEastAsia"/>
          <w:sz w:val="28"/>
          <w:szCs w:val="28"/>
        </w:rPr>
        <w:t>职工</w:t>
      </w:r>
      <w:r>
        <w:rPr>
          <w:rFonts w:hint="eastAsia" w:asciiTheme="majorEastAsia" w:hAnsiTheme="majorEastAsia" w:eastAsiaTheme="majorEastAsia"/>
          <w:sz w:val="28"/>
          <w:szCs w:val="28"/>
          <w:lang w:eastAsia="zh-CN"/>
        </w:rPr>
        <w:t>工</w:t>
      </w:r>
      <w:bookmarkStart w:id="5" w:name="_GoBack"/>
      <w:bookmarkEnd w:id="5"/>
      <w:r>
        <w:rPr>
          <w:rFonts w:hint="eastAsia" w:asciiTheme="majorEastAsia" w:hAnsiTheme="majorEastAsia" w:eastAsiaTheme="majorEastAsia"/>
          <w:sz w:val="28"/>
          <w:szCs w:val="28"/>
        </w:rPr>
        <w:t>资基数提高。</w:t>
      </w:r>
    </w:p>
    <w:p>
      <w:pPr>
        <w:pStyle w:val="10"/>
        <w:spacing w:line="6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六、一般公共预算财政拨款基本支出决算情况说明</w:t>
      </w:r>
    </w:p>
    <w:p>
      <w:pPr>
        <w:pStyle w:val="1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2022年度财政拨款基本支出</w:t>
      </w:r>
      <w:r>
        <w:rPr>
          <w:rFonts w:asciiTheme="minorEastAsia" w:hAnsiTheme="minorEastAsia" w:eastAsiaTheme="minorEastAsia"/>
          <w:sz w:val="28"/>
          <w:szCs w:val="28"/>
        </w:rPr>
        <w:t>206.91</w:t>
      </w:r>
      <w:r>
        <w:rPr>
          <w:rFonts w:hint="eastAsia" w:asciiTheme="minorEastAsia" w:hAnsiTheme="minorEastAsia" w:eastAsiaTheme="minorEastAsia"/>
          <w:sz w:val="28"/>
          <w:szCs w:val="28"/>
        </w:rPr>
        <w:t>万元，其中：</w:t>
      </w:r>
      <w:r>
        <w:rPr>
          <w:rFonts w:hint="eastAsia" w:asciiTheme="minorEastAsia" w:hAnsiTheme="minorEastAsia" w:eastAsiaTheme="minorEastAsia"/>
          <w:b w:val="0"/>
          <w:bCs w:val="0"/>
          <w:sz w:val="28"/>
          <w:szCs w:val="28"/>
        </w:rPr>
        <w:t>人员经费</w:t>
      </w:r>
      <w:r>
        <w:rPr>
          <w:rFonts w:asciiTheme="minorEastAsia" w:hAnsiTheme="minorEastAsia" w:eastAsiaTheme="minorEastAsia"/>
          <w:b w:val="0"/>
          <w:bCs w:val="0"/>
          <w:sz w:val="28"/>
          <w:szCs w:val="28"/>
        </w:rPr>
        <w:t>2</w:t>
      </w:r>
      <w:r>
        <w:rPr>
          <w:rFonts w:asciiTheme="minorEastAsia" w:hAnsiTheme="minorEastAsia" w:eastAsiaTheme="minorEastAsia"/>
          <w:sz w:val="28"/>
          <w:szCs w:val="28"/>
        </w:rPr>
        <w:t>06.91</w:t>
      </w:r>
      <w:r>
        <w:rPr>
          <w:rFonts w:hint="eastAsia" w:asciiTheme="minorEastAsia" w:hAnsiTheme="minorEastAsia" w:eastAsiaTheme="minorEastAsia"/>
          <w:sz w:val="28"/>
          <w:szCs w:val="28"/>
        </w:rPr>
        <w:t>万元，占基本支出的</w:t>
      </w:r>
      <w:r>
        <w:rPr>
          <w:rFonts w:asciiTheme="minorEastAsia" w:hAnsiTheme="minorEastAsia" w:eastAsiaTheme="minorEastAsia"/>
          <w:sz w:val="28"/>
          <w:szCs w:val="28"/>
        </w:rPr>
        <w:t>100</w:t>
      </w:r>
      <w:r>
        <w:rPr>
          <w:rFonts w:hint="eastAsia" w:asciiTheme="minorEastAsia" w:hAnsiTheme="minorEastAsia" w:eastAsiaTheme="minorEastAsia"/>
          <w:sz w:val="28"/>
          <w:szCs w:val="28"/>
        </w:rPr>
        <w:t>%,主要包括基本工资、津贴补贴、奖金、伙食补助费</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pStyle w:val="10"/>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公用经费</w:t>
      </w:r>
      <w:r>
        <w:rPr>
          <w:rFonts w:asciiTheme="minorEastAsia" w:hAnsiTheme="minorEastAsia" w:eastAsiaTheme="minorEastAsia"/>
          <w:sz w:val="28"/>
          <w:szCs w:val="28"/>
        </w:rPr>
        <w:t>0</w:t>
      </w:r>
      <w:r>
        <w:rPr>
          <w:rFonts w:hint="eastAsia" w:asciiTheme="minorEastAsia" w:hAnsiTheme="minorEastAsia" w:eastAsiaTheme="minorEastAsia"/>
          <w:sz w:val="28"/>
          <w:szCs w:val="28"/>
        </w:rPr>
        <w:t>万元，占基本支出的</w:t>
      </w:r>
      <w:r>
        <w:rPr>
          <w:rFonts w:asciiTheme="minorEastAsia" w:hAnsiTheme="minorEastAsia" w:eastAsiaTheme="minorEastAsia"/>
          <w:sz w:val="28"/>
          <w:szCs w:val="28"/>
        </w:rPr>
        <w:t>0</w:t>
      </w:r>
      <w:r>
        <w:rPr>
          <w:rFonts w:hint="eastAsia" w:asciiTheme="minorEastAsia" w:hAnsiTheme="minorEastAsia" w:eastAsiaTheme="minorEastAsia"/>
          <w:sz w:val="28"/>
          <w:szCs w:val="28"/>
        </w:rPr>
        <w:t>%，主要包括办公费、印刷费、咨询费、手续费</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pStyle w:val="10"/>
        <w:spacing w:line="6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七、财政拨款三公经费支出决算情况说明</w:t>
      </w:r>
    </w:p>
    <w:p>
      <w:pPr>
        <w:pStyle w:val="10"/>
        <w:spacing w:line="600" w:lineRule="exact"/>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0"/>
        <w:spacing w:line="600" w:lineRule="exact"/>
        <w:ind w:firstLine="700" w:firstLineChars="250"/>
        <w:rPr>
          <w:rFonts w:ascii="宋体" w:hAnsi="宋体" w:eastAsia="宋体"/>
          <w:sz w:val="28"/>
          <w:szCs w:val="28"/>
        </w:rPr>
      </w:pPr>
      <w:r>
        <w:rPr>
          <w:rFonts w:hint="eastAsia" w:ascii="宋体" w:hAnsi="宋体" w:eastAsia="宋体"/>
          <w:sz w:val="28"/>
          <w:szCs w:val="28"/>
        </w:rPr>
        <w:t>“三公”经费财政拨款支出预算为</w:t>
      </w:r>
      <w:r>
        <w:rPr>
          <w:rFonts w:ascii="宋体" w:hAnsi="宋体" w:eastAsia="宋体"/>
          <w:sz w:val="28"/>
          <w:szCs w:val="28"/>
        </w:rPr>
        <w:t>0</w:t>
      </w:r>
      <w:r>
        <w:rPr>
          <w:rFonts w:hint="eastAsia" w:ascii="宋体" w:hAnsi="宋体" w:eastAsia="宋体"/>
          <w:sz w:val="28"/>
          <w:szCs w:val="28"/>
        </w:rPr>
        <w:t>万元，支出决算为</w:t>
      </w:r>
      <w:r>
        <w:rPr>
          <w:rFonts w:ascii="宋体" w:hAnsi="宋体" w:eastAsia="宋体"/>
          <w:sz w:val="28"/>
          <w:szCs w:val="28"/>
        </w:rPr>
        <w:t>0</w:t>
      </w:r>
      <w:r>
        <w:rPr>
          <w:rFonts w:hint="eastAsia" w:ascii="宋体" w:hAnsi="宋体" w:eastAsia="宋体"/>
          <w:sz w:val="28"/>
          <w:szCs w:val="28"/>
        </w:rPr>
        <w:t>万元，完成预算的</w:t>
      </w:r>
      <w:r>
        <w:rPr>
          <w:rFonts w:ascii="宋体" w:hAnsi="宋体" w:eastAsia="宋体"/>
          <w:sz w:val="28"/>
          <w:szCs w:val="28"/>
        </w:rPr>
        <w:t>0</w:t>
      </w:r>
      <w:r>
        <w:rPr>
          <w:rFonts w:hint="eastAsia" w:ascii="宋体" w:hAnsi="宋体" w:eastAsia="宋体"/>
          <w:sz w:val="28"/>
          <w:szCs w:val="28"/>
        </w:rPr>
        <w:t>%，其中：因公出国（境）费支出预算为</w:t>
      </w:r>
      <w:r>
        <w:rPr>
          <w:rFonts w:ascii="宋体" w:hAnsi="宋体" w:eastAsia="宋体"/>
          <w:sz w:val="28"/>
          <w:szCs w:val="28"/>
        </w:rPr>
        <w:t>0</w:t>
      </w:r>
      <w:r>
        <w:rPr>
          <w:rFonts w:hint="eastAsia" w:ascii="宋体" w:hAnsi="宋体" w:eastAsia="宋体"/>
          <w:sz w:val="28"/>
          <w:szCs w:val="28"/>
        </w:rPr>
        <w:t>万元，支出决算为</w:t>
      </w:r>
      <w:r>
        <w:rPr>
          <w:rFonts w:ascii="宋体" w:hAnsi="宋体" w:eastAsia="宋体"/>
          <w:sz w:val="28"/>
          <w:szCs w:val="28"/>
        </w:rPr>
        <w:t>0</w:t>
      </w:r>
      <w:r>
        <w:rPr>
          <w:rFonts w:hint="eastAsia" w:ascii="宋体" w:hAnsi="宋体" w:eastAsia="宋体"/>
          <w:sz w:val="28"/>
          <w:szCs w:val="28"/>
        </w:rPr>
        <w:t>万元，完成预算的</w:t>
      </w:r>
      <w:r>
        <w:rPr>
          <w:rFonts w:ascii="宋体" w:hAnsi="宋体" w:eastAsia="宋体"/>
          <w:sz w:val="28"/>
          <w:szCs w:val="28"/>
        </w:rPr>
        <w:t>0</w:t>
      </w:r>
      <w:r>
        <w:rPr>
          <w:rFonts w:hint="eastAsia" w:ascii="宋体" w:hAnsi="宋体" w:eastAsia="宋体"/>
          <w:sz w:val="28"/>
          <w:szCs w:val="28"/>
        </w:rPr>
        <w:t>%，。</w:t>
      </w:r>
    </w:p>
    <w:p>
      <w:pPr>
        <w:pStyle w:val="10"/>
        <w:spacing w:line="600" w:lineRule="exact"/>
        <w:ind w:firstLine="700" w:firstLineChars="250"/>
        <w:rPr>
          <w:rFonts w:ascii="宋体" w:hAnsi="宋体" w:eastAsia="宋体"/>
          <w:sz w:val="28"/>
          <w:szCs w:val="28"/>
        </w:rPr>
      </w:pPr>
      <w:r>
        <w:rPr>
          <w:rFonts w:hint="eastAsia" w:ascii="宋体" w:hAnsi="宋体" w:eastAsia="宋体"/>
          <w:sz w:val="28"/>
          <w:szCs w:val="28"/>
        </w:rPr>
        <w:t>公务接待费支出预算为</w:t>
      </w:r>
      <w:r>
        <w:rPr>
          <w:rFonts w:ascii="宋体" w:hAnsi="宋体" w:eastAsia="宋体"/>
          <w:sz w:val="28"/>
          <w:szCs w:val="28"/>
        </w:rPr>
        <w:t>0</w:t>
      </w:r>
      <w:r>
        <w:rPr>
          <w:rFonts w:hint="eastAsia" w:ascii="宋体" w:hAnsi="宋体" w:eastAsia="宋体"/>
          <w:sz w:val="28"/>
          <w:szCs w:val="28"/>
        </w:rPr>
        <w:t>万元，支出决算为</w:t>
      </w:r>
      <w:r>
        <w:rPr>
          <w:rFonts w:ascii="宋体" w:hAnsi="宋体" w:eastAsia="宋体"/>
          <w:sz w:val="28"/>
          <w:szCs w:val="28"/>
        </w:rPr>
        <w:t>0</w:t>
      </w:r>
      <w:r>
        <w:rPr>
          <w:rFonts w:hint="eastAsia" w:ascii="宋体" w:hAnsi="宋体" w:eastAsia="宋体"/>
          <w:sz w:val="28"/>
          <w:szCs w:val="28"/>
        </w:rPr>
        <w:t>万元，完成预算的</w:t>
      </w:r>
      <w:r>
        <w:rPr>
          <w:rFonts w:ascii="宋体" w:hAnsi="宋体" w:eastAsia="宋体"/>
          <w:sz w:val="28"/>
          <w:szCs w:val="28"/>
        </w:rPr>
        <w:t>0</w:t>
      </w:r>
      <w:r>
        <w:rPr>
          <w:rFonts w:hint="eastAsia" w:ascii="宋体" w:hAnsi="宋体" w:eastAsia="宋体"/>
          <w:sz w:val="28"/>
          <w:szCs w:val="28"/>
        </w:rPr>
        <w:t>%。</w:t>
      </w:r>
    </w:p>
    <w:p>
      <w:pPr>
        <w:pStyle w:val="10"/>
        <w:spacing w:line="600" w:lineRule="exact"/>
        <w:ind w:firstLine="560" w:firstLineChars="200"/>
        <w:rPr>
          <w:rFonts w:ascii="宋体" w:hAnsi="宋体" w:eastAsia="宋体"/>
          <w:sz w:val="28"/>
          <w:szCs w:val="28"/>
        </w:rPr>
      </w:pPr>
      <w:r>
        <w:rPr>
          <w:rFonts w:hint="eastAsia" w:ascii="宋体" w:hAnsi="宋体" w:eastAsia="宋体"/>
          <w:sz w:val="28"/>
          <w:szCs w:val="28"/>
        </w:rPr>
        <w:t>公务用车购置费支出预算为</w:t>
      </w:r>
      <w:r>
        <w:rPr>
          <w:rFonts w:ascii="宋体" w:hAnsi="宋体" w:eastAsia="宋体"/>
          <w:sz w:val="28"/>
          <w:szCs w:val="28"/>
        </w:rPr>
        <w:t>0</w:t>
      </w:r>
      <w:r>
        <w:rPr>
          <w:rFonts w:hint="eastAsia" w:ascii="宋体" w:hAnsi="宋体" w:eastAsia="宋体"/>
          <w:sz w:val="28"/>
          <w:szCs w:val="28"/>
        </w:rPr>
        <w:t>万元，支出决算为</w:t>
      </w:r>
      <w:r>
        <w:rPr>
          <w:rFonts w:ascii="宋体" w:hAnsi="宋体" w:eastAsia="宋体"/>
          <w:sz w:val="28"/>
          <w:szCs w:val="28"/>
        </w:rPr>
        <w:t>0</w:t>
      </w:r>
      <w:r>
        <w:rPr>
          <w:rFonts w:hint="eastAsia" w:ascii="宋体" w:hAnsi="宋体" w:eastAsia="宋体"/>
          <w:sz w:val="28"/>
          <w:szCs w:val="28"/>
        </w:rPr>
        <w:t>万元，完成预算的</w:t>
      </w:r>
      <w:r>
        <w:rPr>
          <w:rFonts w:ascii="宋体" w:hAnsi="宋体" w:eastAsia="宋体"/>
          <w:sz w:val="28"/>
          <w:szCs w:val="28"/>
        </w:rPr>
        <w:t>0</w:t>
      </w:r>
      <w:r>
        <w:rPr>
          <w:rFonts w:hint="eastAsia" w:ascii="宋体" w:hAnsi="宋体" w:eastAsia="宋体"/>
          <w:sz w:val="28"/>
          <w:szCs w:val="28"/>
        </w:rPr>
        <w:t>%。</w:t>
      </w:r>
    </w:p>
    <w:p>
      <w:pPr>
        <w:pStyle w:val="10"/>
        <w:spacing w:line="600" w:lineRule="exact"/>
        <w:ind w:firstLine="560" w:firstLineChars="200"/>
        <w:rPr>
          <w:rFonts w:ascii="宋体" w:hAnsi="宋体" w:eastAsia="宋体"/>
          <w:sz w:val="28"/>
          <w:szCs w:val="28"/>
        </w:rPr>
      </w:pPr>
      <w:r>
        <w:rPr>
          <w:rFonts w:hint="eastAsia" w:ascii="宋体" w:hAnsi="宋体" w:eastAsia="宋体"/>
          <w:sz w:val="28"/>
          <w:szCs w:val="28"/>
        </w:rPr>
        <w:t>公务用车运行维护费支出预算为</w:t>
      </w:r>
      <w:r>
        <w:rPr>
          <w:rFonts w:ascii="宋体" w:hAnsi="宋体" w:eastAsia="宋体"/>
          <w:sz w:val="28"/>
          <w:szCs w:val="28"/>
        </w:rPr>
        <w:t>0</w:t>
      </w:r>
      <w:r>
        <w:rPr>
          <w:rFonts w:hint="eastAsia" w:ascii="宋体" w:hAnsi="宋体" w:eastAsia="宋体"/>
          <w:sz w:val="28"/>
          <w:szCs w:val="28"/>
        </w:rPr>
        <w:t>万元，支出决算为</w:t>
      </w:r>
      <w:r>
        <w:rPr>
          <w:rFonts w:ascii="宋体" w:hAnsi="宋体" w:eastAsia="宋体"/>
          <w:sz w:val="28"/>
          <w:szCs w:val="28"/>
        </w:rPr>
        <w:t>0</w:t>
      </w:r>
      <w:r>
        <w:rPr>
          <w:rFonts w:hint="eastAsia" w:ascii="宋体" w:hAnsi="宋体" w:eastAsia="宋体"/>
          <w:sz w:val="28"/>
          <w:szCs w:val="28"/>
        </w:rPr>
        <w:t>万元，完成预算的</w:t>
      </w:r>
      <w:r>
        <w:rPr>
          <w:rFonts w:ascii="宋体" w:hAnsi="宋体" w:eastAsia="宋体"/>
          <w:sz w:val="28"/>
          <w:szCs w:val="28"/>
        </w:rPr>
        <w:t>0</w:t>
      </w:r>
      <w:r>
        <w:rPr>
          <w:rFonts w:hint="eastAsia" w:ascii="宋体" w:hAnsi="宋体" w:eastAsia="宋体"/>
          <w:sz w:val="28"/>
          <w:szCs w:val="28"/>
        </w:rPr>
        <w:t>%。</w:t>
      </w:r>
    </w:p>
    <w:p>
      <w:pPr>
        <w:pStyle w:val="10"/>
        <w:spacing w:line="600" w:lineRule="exact"/>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0"/>
        <w:spacing w:line="6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2022年度“三公”经费财政拨款支出决算中，公务接待费支出决算</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%,因公出国（境）费支出决算</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%,公务用车购置费及运行维护费支出决算</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万元，占</w:t>
      </w:r>
      <w:r>
        <w:rPr>
          <w:rFonts w:asciiTheme="majorEastAsia" w:hAnsiTheme="majorEastAsia" w:eastAsiaTheme="majorEastAsia"/>
          <w:sz w:val="28"/>
          <w:szCs w:val="28"/>
        </w:rPr>
        <w:t>0</w:t>
      </w:r>
      <w:r>
        <w:rPr>
          <w:rFonts w:hint="eastAsia" w:asciiTheme="majorEastAsia" w:hAnsiTheme="majorEastAsia" w:eastAsiaTheme="majorEastAsia"/>
          <w:sz w:val="28"/>
          <w:szCs w:val="28"/>
        </w:rPr>
        <w:t>%。其中：</w:t>
      </w:r>
    </w:p>
    <w:p>
      <w:pPr>
        <w:pStyle w:val="10"/>
        <w:spacing w:line="600" w:lineRule="exact"/>
        <w:ind w:firstLine="560" w:firstLineChars="200"/>
        <w:rPr>
          <w:rFonts w:asciiTheme="majorEastAsia" w:hAnsiTheme="majorEastAsia" w:eastAsiaTheme="majorEastAsia"/>
          <w:b/>
          <w:sz w:val="28"/>
          <w:szCs w:val="28"/>
        </w:rPr>
      </w:pPr>
      <w:r>
        <w:rPr>
          <w:rFonts w:hint="eastAsia" w:asciiTheme="majorEastAsia" w:hAnsiTheme="majorEastAsia" w:eastAsiaTheme="majorEastAsia"/>
          <w:sz w:val="28"/>
          <w:szCs w:val="28"/>
        </w:rPr>
        <w:t>1、因公出国（境）费支出决算为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万元，全年安排因公出国（境）团组</w:t>
      </w:r>
      <w:r>
        <w:rPr>
          <w:rFonts w:asciiTheme="majorEastAsia" w:hAnsiTheme="majorEastAsia" w:eastAsiaTheme="majorEastAsia"/>
          <w:sz w:val="28"/>
          <w:szCs w:val="28"/>
        </w:rPr>
        <w:t>0</w:t>
      </w:r>
      <w:r>
        <w:rPr>
          <w:rFonts w:hint="eastAsia" w:asciiTheme="majorEastAsia" w:hAnsiTheme="majorEastAsia" w:eastAsiaTheme="majorEastAsia"/>
          <w:sz w:val="28"/>
          <w:szCs w:val="28"/>
        </w:rPr>
        <w:t>个，累计</w:t>
      </w:r>
      <w:r>
        <w:rPr>
          <w:rFonts w:asciiTheme="majorEastAsia" w:hAnsiTheme="majorEastAsia" w:eastAsiaTheme="majorEastAsia"/>
          <w:sz w:val="28"/>
          <w:szCs w:val="28"/>
        </w:rPr>
        <w:t>0</w:t>
      </w:r>
      <w:r>
        <w:rPr>
          <w:rFonts w:hint="eastAsia" w:asciiTheme="majorEastAsia" w:hAnsiTheme="majorEastAsia" w:eastAsiaTheme="majorEastAsia"/>
          <w:sz w:val="28"/>
          <w:szCs w:val="28"/>
        </w:rPr>
        <w:t>人次。</w:t>
      </w:r>
    </w:p>
    <w:p>
      <w:pPr>
        <w:pStyle w:val="10"/>
        <w:spacing w:line="600" w:lineRule="exact"/>
        <w:ind w:firstLine="700" w:firstLineChars="250"/>
        <w:rPr>
          <w:rFonts w:asciiTheme="majorEastAsia" w:hAnsiTheme="majorEastAsia" w:eastAsiaTheme="majorEastAsia"/>
          <w:sz w:val="28"/>
          <w:szCs w:val="28"/>
        </w:rPr>
      </w:pPr>
      <w:r>
        <w:rPr>
          <w:rFonts w:hint="eastAsia" w:asciiTheme="majorEastAsia" w:hAnsiTheme="majorEastAsia" w:eastAsiaTheme="majorEastAsia"/>
          <w:sz w:val="28"/>
          <w:szCs w:val="28"/>
        </w:rPr>
        <w:t>2、公务接待费支出决算为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万元，全年共接待来访团组</w:t>
      </w:r>
      <w:r>
        <w:rPr>
          <w:rFonts w:asciiTheme="majorEastAsia" w:hAnsiTheme="majorEastAsia" w:eastAsiaTheme="majorEastAsia"/>
          <w:sz w:val="28"/>
          <w:szCs w:val="28"/>
        </w:rPr>
        <w:t>0</w:t>
      </w:r>
      <w:r>
        <w:rPr>
          <w:rFonts w:hint="eastAsia" w:asciiTheme="majorEastAsia" w:hAnsiTheme="majorEastAsia" w:eastAsiaTheme="majorEastAsia"/>
          <w:sz w:val="28"/>
          <w:szCs w:val="28"/>
        </w:rPr>
        <w:t>个、来宾</w:t>
      </w:r>
      <w:r>
        <w:rPr>
          <w:rFonts w:asciiTheme="majorEastAsia" w:hAnsiTheme="majorEastAsia" w:eastAsiaTheme="majorEastAsia"/>
          <w:sz w:val="28"/>
          <w:szCs w:val="28"/>
        </w:rPr>
        <w:t>0</w:t>
      </w:r>
      <w:r>
        <w:rPr>
          <w:rFonts w:hint="eastAsia" w:asciiTheme="majorEastAsia" w:hAnsiTheme="majorEastAsia" w:eastAsiaTheme="majorEastAsia"/>
          <w:sz w:val="28"/>
          <w:szCs w:val="28"/>
        </w:rPr>
        <w:t>人次。</w:t>
      </w:r>
    </w:p>
    <w:p>
      <w:pPr>
        <w:spacing w:line="600" w:lineRule="exact"/>
        <w:ind w:firstLine="700" w:firstLineChars="250"/>
        <w:rPr>
          <w:rFonts w:cs="楷体" w:asciiTheme="majorEastAsia" w:hAnsiTheme="majorEastAsia" w:eastAsiaTheme="majorEastAsia"/>
          <w:b/>
          <w:bCs/>
          <w:i/>
          <w:kern w:val="0"/>
          <w:sz w:val="28"/>
          <w:szCs w:val="28"/>
        </w:rPr>
      </w:pPr>
      <w:r>
        <w:rPr>
          <w:rFonts w:hint="eastAsia" w:asciiTheme="majorEastAsia" w:hAnsiTheme="majorEastAsia" w:eastAsiaTheme="majorEastAsia"/>
          <w:sz w:val="28"/>
          <w:szCs w:val="28"/>
        </w:rPr>
        <w:t>3、公务用车购置费及运行维护费支出决算为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万元，其中：公务用车购置费</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万元，公务用车运行维护费</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万元，截止2022年12月31日，我单位开支财政拨款的公务用车保有量为</w:t>
      </w:r>
      <w:r>
        <w:rPr>
          <w:rFonts w:asciiTheme="majorEastAsia" w:hAnsiTheme="majorEastAsia" w:eastAsiaTheme="majorEastAsia"/>
          <w:sz w:val="28"/>
          <w:szCs w:val="28"/>
        </w:rPr>
        <w:t>0</w:t>
      </w:r>
      <w:r>
        <w:rPr>
          <w:rFonts w:hint="eastAsia" w:asciiTheme="majorEastAsia" w:hAnsiTheme="majorEastAsia" w:eastAsiaTheme="majorEastAsia"/>
          <w:sz w:val="28"/>
          <w:szCs w:val="28"/>
        </w:rPr>
        <w:t>辆。</w:t>
      </w:r>
    </w:p>
    <w:p>
      <w:pPr>
        <w:pStyle w:val="10"/>
        <w:spacing w:line="600" w:lineRule="exact"/>
        <w:rPr>
          <w:rFonts w:hAnsi="黑体"/>
          <w:bCs/>
          <w:sz w:val="32"/>
          <w:szCs w:val="32"/>
        </w:rPr>
      </w:pPr>
      <w:r>
        <w:rPr>
          <w:rFonts w:hint="eastAsia" w:hAnsi="黑体"/>
          <w:bCs/>
          <w:sz w:val="32"/>
          <w:szCs w:val="32"/>
        </w:rPr>
        <w:t>八、政府性基金预算收入支出决算情况</w:t>
      </w:r>
    </w:p>
    <w:p>
      <w:pPr>
        <w:pStyle w:val="10"/>
        <w:spacing w:line="600" w:lineRule="exact"/>
        <w:rPr>
          <w:rFonts w:asciiTheme="majorEastAsia" w:hAnsiTheme="majorEastAsia" w:eastAsiaTheme="majorEastAsia"/>
          <w:sz w:val="28"/>
          <w:szCs w:val="28"/>
        </w:rPr>
      </w:pPr>
      <w:r>
        <w:rPr>
          <w:rFonts w:hint="eastAsia" w:ascii="Times New Roman" w:hAnsi="Times New Roman" w:eastAsia="仿宋_GB2312"/>
          <w:sz w:val="32"/>
          <w:szCs w:val="32"/>
        </w:rPr>
        <w:t xml:space="preserve">    </w:t>
      </w:r>
      <w:r>
        <w:rPr>
          <w:rFonts w:hint="eastAsia" w:asciiTheme="majorEastAsia" w:hAnsiTheme="majorEastAsia" w:eastAsiaTheme="majorEastAsia"/>
          <w:sz w:val="28"/>
          <w:szCs w:val="28"/>
        </w:rPr>
        <w:t xml:space="preserve"> 2022年度政府性基金预算财政拨款收入</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万元；年初结转和结余</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万元，其中基本支出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万元，项目支出</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万元；年末结转和结余</w:t>
      </w:r>
      <w:r>
        <w:rPr>
          <w:rFonts w:asciiTheme="majorEastAsia" w:hAnsiTheme="majorEastAsia" w:eastAsiaTheme="majorEastAsia"/>
          <w:sz w:val="28"/>
          <w:szCs w:val="28"/>
        </w:rPr>
        <w:t>0</w:t>
      </w:r>
      <w:r>
        <w:rPr>
          <w:rFonts w:hint="eastAsia" w:asciiTheme="majorEastAsia" w:hAnsiTheme="majorEastAsia" w:eastAsiaTheme="majorEastAsia"/>
          <w:sz w:val="28"/>
          <w:szCs w:val="28"/>
        </w:rPr>
        <w:t>万元。</w:t>
      </w:r>
    </w:p>
    <w:p>
      <w:pPr>
        <w:pStyle w:val="10"/>
        <w:spacing w:line="6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九、关于机关运行经费支出说明</w:t>
      </w:r>
    </w:p>
    <w:p>
      <w:pPr>
        <w:pStyle w:val="10"/>
        <w:ind w:firstLine="560" w:firstLineChars="200"/>
        <w:rPr>
          <w:rFonts w:ascii="宋体" w:hAnsi="宋体" w:eastAsia="宋体"/>
          <w:bCs/>
          <w:sz w:val="28"/>
          <w:szCs w:val="28"/>
        </w:rPr>
      </w:pPr>
      <w:r>
        <w:rPr>
          <w:rFonts w:hint="eastAsia" w:ascii="宋体" w:hAnsi="宋体" w:eastAsia="宋体"/>
          <w:sz w:val="28"/>
          <w:szCs w:val="28"/>
        </w:rPr>
        <w:t>本部门202</w:t>
      </w:r>
      <w:r>
        <w:rPr>
          <w:rFonts w:ascii="宋体" w:hAnsi="宋体" w:eastAsia="宋体"/>
          <w:sz w:val="28"/>
          <w:szCs w:val="28"/>
        </w:rPr>
        <w:t>2</w:t>
      </w:r>
      <w:r>
        <w:rPr>
          <w:rFonts w:hint="eastAsia" w:ascii="宋体" w:hAnsi="宋体" w:eastAsia="宋体"/>
          <w:sz w:val="28"/>
          <w:szCs w:val="28"/>
        </w:rPr>
        <w:t>年度无机关运行经费支出。</w:t>
      </w:r>
    </w:p>
    <w:p>
      <w:pPr>
        <w:pStyle w:val="10"/>
        <w:spacing w:line="600" w:lineRule="exact"/>
        <w:rPr>
          <w:rFonts w:hAnsi="黑体"/>
          <w:bCs/>
          <w:sz w:val="32"/>
          <w:szCs w:val="32"/>
        </w:rPr>
      </w:pPr>
      <w:r>
        <w:rPr>
          <w:rFonts w:hint="eastAsia" w:hAnsi="黑体"/>
          <w:bCs/>
          <w:sz w:val="32"/>
          <w:szCs w:val="32"/>
        </w:rPr>
        <w:t>十、一般性支出情况说明</w:t>
      </w:r>
    </w:p>
    <w:p>
      <w:pPr>
        <w:pStyle w:val="10"/>
        <w:ind w:firstLine="560" w:firstLineChars="200"/>
        <w:rPr>
          <w:rFonts w:hint="eastAsia" w:ascii="宋体" w:hAnsi="宋体" w:eastAsia="宋体"/>
          <w:color w:val="131313"/>
          <w:sz w:val="28"/>
          <w:szCs w:val="28"/>
          <w:lang w:val="en-US" w:eastAsia="zh-CN"/>
        </w:rPr>
      </w:pPr>
      <w:r>
        <w:rPr>
          <w:rFonts w:hint="eastAsia" w:ascii="宋体" w:hAnsi="宋体" w:eastAsia="宋体"/>
          <w:color w:val="131313"/>
          <w:sz w:val="28"/>
          <w:szCs w:val="28"/>
        </w:rPr>
        <w:t>202</w:t>
      </w:r>
      <w:r>
        <w:rPr>
          <w:rFonts w:ascii="宋体" w:hAnsi="宋体" w:eastAsia="宋体"/>
          <w:color w:val="131313"/>
          <w:sz w:val="28"/>
          <w:szCs w:val="28"/>
        </w:rPr>
        <w:t>2</w:t>
      </w:r>
      <w:r>
        <w:rPr>
          <w:rFonts w:hint="eastAsia" w:ascii="宋体" w:hAnsi="宋体" w:eastAsia="宋体"/>
          <w:color w:val="131313"/>
          <w:sz w:val="28"/>
          <w:szCs w:val="28"/>
        </w:rPr>
        <w:t>年本部门开支会议费0万元，；开支培训费0万元，举办节庆、晚会、论坛、赛事活动，开支0万元</w:t>
      </w:r>
      <w:r>
        <w:rPr>
          <w:rFonts w:hint="eastAsia" w:ascii="宋体" w:hAnsi="宋体" w:eastAsia="宋体"/>
          <w:color w:val="131313"/>
          <w:sz w:val="28"/>
          <w:szCs w:val="28"/>
          <w:lang w:eastAsia="zh-CN"/>
        </w:rPr>
        <w:t>。</w:t>
      </w:r>
    </w:p>
    <w:p>
      <w:pPr>
        <w:pStyle w:val="10"/>
        <w:spacing w:line="600" w:lineRule="exact"/>
        <w:rPr>
          <w:rFonts w:hAnsi="黑体"/>
          <w:bCs/>
          <w:sz w:val="32"/>
          <w:szCs w:val="32"/>
        </w:rPr>
      </w:pPr>
      <w:r>
        <w:rPr>
          <w:rFonts w:hint="eastAsia" w:hAnsi="黑体"/>
          <w:bCs/>
          <w:sz w:val="32"/>
          <w:szCs w:val="32"/>
        </w:rPr>
        <w:t>十一、关于政府采购支出说明</w:t>
      </w:r>
    </w:p>
    <w:p>
      <w:pPr>
        <w:pStyle w:val="10"/>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本部门202</w:t>
      </w:r>
      <w:r>
        <w:rPr>
          <w:rFonts w:asciiTheme="majorEastAsia" w:hAnsiTheme="majorEastAsia" w:eastAsiaTheme="majorEastAsia"/>
          <w:sz w:val="28"/>
          <w:szCs w:val="28"/>
        </w:rPr>
        <w:t>2</w:t>
      </w:r>
      <w:r>
        <w:rPr>
          <w:rFonts w:hint="eastAsia" w:asciiTheme="majorEastAsia" w:hAnsiTheme="majorEastAsia" w:eastAsiaTheme="majorEastAsia"/>
          <w:sz w:val="28"/>
          <w:szCs w:val="28"/>
        </w:rPr>
        <w:t>年度政府采购支出总额0万元，其中：政府采购货物支出0万元、政府采购工程支出0 万元、政府采购服务支出0万元。授予中小企业合同金额0万元，占政府采购支出总额的0%，其中：授予小微企业合同金额0万元，占政府采购支出总额的0%。</w:t>
      </w:r>
    </w:p>
    <w:p>
      <w:pPr>
        <w:pStyle w:val="10"/>
        <w:spacing w:line="600" w:lineRule="exact"/>
        <w:rPr>
          <w:rFonts w:hAnsi="黑体"/>
          <w:bCs/>
          <w:sz w:val="32"/>
          <w:szCs w:val="32"/>
        </w:rPr>
      </w:pPr>
      <w:r>
        <w:rPr>
          <w:rFonts w:hint="eastAsia" w:hAnsi="黑体"/>
          <w:bCs/>
          <w:sz w:val="32"/>
          <w:szCs w:val="32"/>
        </w:rPr>
        <w:t>十二、关于国有资产占用情况说明</w:t>
      </w:r>
    </w:p>
    <w:p>
      <w:pPr>
        <w:pStyle w:val="10"/>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截至2022年12月31日，本单位共有车辆</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辆，其中，主要领导干部用车</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辆，机要通信用车</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辆、应急保障用车</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辆、执法执勤用车</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辆、特种专业技术用车</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辆、其他用车</w:t>
      </w:r>
      <w:r>
        <w:rPr>
          <w:rFonts w:asciiTheme="minorEastAsia" w:hAnsiTheme="minorEastAsia" w:eastAsiaTheme="minorEastAsia"/>
          <w:sz w:val="28"/>
          <w:szCs w:val="28"/>
        </w:rPr>
        <w:t>0</w:t>
      </w:r>
      <w:r>
        <w:rPr>
          <w:rFonts w:hint="eastAsia" w:asciiTheme="minorEastAsia" w:hAnsiTheme="minorEastAsia" w:eastAsiaTheme="minorEastAsia"/>
          <w:sz w:val="28"/>
          <w:szCs w:val="28"/>
        </w:rPr>
        <w:t>辆，单位价值50万元以上通用设备</w:t>
      </w:r>
      <w:r>
        <w:rPr>
          <w:rFonts w:asciiTheme="minorEastAsia" w:hAnsiTheme="minorEastAsia" w:eastAsiaTheme="minorEastAsia"/>
          <w:sz w:val="28"/>
          <w:szCs w:val="28"/>
        </w:rPr>
        <w:t>0</w:t>
      </w:r>
      <w:r>
        <w:rPr>
          <w:rFonts w:hint="eastAsia" w:asciiTheme="minorEastAsia" w:hAnsiTheme="minorEastAsia" w:eastAsiaTheme="minorEastAsia"/>
          <w:sz w:val="28"/>
          <w:szCs w:val="28"/>
        </w:rPr>
        <w:t>台（套）；单位价值100万元以上专用设备</w:t>
      </w:r>
      <w:r>
        <w:rPr>
          <w:rFonts w:asciiTheme="minorEastAsia" w:hAnsiTheme="minorEastAsia" w:eastAsiaTheme="minorEastAsia"/>
          <w:sz w:val="28"/>
          <w:szCs w:val="28"/>
        </w:rPr>
        <w:t>0</w:t>
      </w:r>
      <w:r>
        <w:rPr>
          <w:rFonts w:hint="eastAsia" w:asciiTheme="minorEastAsia" w:hAnsiTheme="minorEastAsia" w:eastAsiaTheme="minorEastAsia"/>
          <w:sz w:val="28"/>
          <w:szCs w:val="28"/>
        </w:rPr>
        <w:t>台（套）。</w:t>
      </w:r>
    </w:p>
    <w:p>
      <w:pPr>
        <w:pStyle w:val="10"/>
        <w:spacing w:line="600" w:lineRule="exact"/>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0"/>
        <w:spacing w:line="600" w:lineRule="exact"/>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autoSpaceDE w:val="0"/>
        <w:autoSpaceDN w:val="0"/>
        <w:adjustRightInd w:val="0"/>
        <w:ind w:firstLine="560" w:firstLineChars="200"/>
        <w:jc w:val="left"/>
        <w:rPr>
          <w:rFonts w:cs="黑体" w:asciiTheme="majorEastAsia" w:hAnsiTheme="majorEastAsia" w:eastAsiaTheme="majorEastAsia"/>
          <w:color w:val="000000"/>
          <w:kern w:val="0"/>
          <w:sz w:val="28"/>
          <w:szCs w:val="28"/>
        </w:rPr>
      </w:pPr>
      <w:r>
        <w:rPr>
          <w:rFonts w:hint="eastAsia" w:cs="黑体" w:asciiTheme="majorEastAsia" w:hAnsiTheme="majorEastAsia" w:eastAsiaTheme="majorEastAsia"/>
          <w:color w:val="000000"/>
          <w:kern w:val="0"/>
          <w:sz w:val="28"/>
          <w:szCs w:val="28"/>
        </w:rPr>
        <w:t>根据预算绩效管理要求，耒阳市幼儿园对</w:t>
      </w:r>
      <w:r>
        <w:rPr>
          <w:rFonts w:cs="黑体" w:asciiTheme="majorEastAsia" w:hAnsiTheme="majorEastAsia" w:eastAsiaTheme="majorEastAsia"/>
          <w:color w:val="000000"/>
          <w:kern w:val="0"/>
          <w:sz w:val="28"/>
          <w:szCs w:val="28"/>
        </w:rPr>
        <w:t xml:space="preserve">2022 </w:t>
      </w:r>
      <w:r>
        <w:rPr>
          <w:rFonts w:hint="eastAsia" w:cs="黑体" w:asciiTheme="majorEastAsia" w:hAnsiTheme="majorEastAsia" w:eastAsiaTheme="majorEastAsia"/>
          <w:color w:val="000000"/>
          <w:kern w:val="0"/>
          <w:sz w:val="28"/>
          <w:szCs w:val="28"/>
        </w:rPr>
        <w:t>年度一般公共预算项目支出全面开展绩效自评： 2</w:t>
      </w:r>
      <w:r>
        <w:rPr>
          <w:rFonts w:cs="黑体" w:asciiTheme="majorEastAsia" w:hAnsiTheme="majorEastAsia" w:eastAsiaTheme="majorEastAsia"/>
          <w:color w:val="000000"/>
          <w:kern w:val="0"/>
          <w:sz w:val="28"/>
          <w:szCs w:val="28"/>
        </w:rPr>
        <w:t>022</w:t>
      </w:r>
      <w:r>
        <w:rPr>
          <w:rFonts w:hint="eastAsia" w:cs="黑体" w:asciiTheme="majorEastAsia" w:hAnsiTheme="majorEastAsia" w:eastAsiaTheme="majorEastAsia"/>
          <w:color w:val="000000"/>
          <w:kern w:val="0"/>
          <w:sz w:val="28"/>
          <w:szCs w:val="28"/>
        </w:rPr>
        <w:t>年度财政拨款教育支出</w:t>
      </w:r>
      <w:r>
        <w:rPr>
          <w:rFonts w:cs="黑体" w:asciiTheme="majorEastAsia" w:hAnsiTheme="majorEastAsia" w:eastAsiaTheme="majorEastAsia"/>
          <w:color w:val="000000"/>
          <w:kern w:val="0"/>
          <w:sz w:val="28"/>
          <w:szCs w:val="28"/>
        </w:rPr>
        <w:t>206.91</w:t>
      </w:r>
      <w:r>
        <w:rPr>
          <w:rFonts w:hint="eastAsia" w:cs="黑体" w:asciiTheme="majorEastAsia" w:hAnsiTheme="majorEastAsia" w:eastAsiaTheme="majorEastAsia"/>
          <w:color w:val="000000"/>
          <w:kern w:val="0"/>
          <w:sz w:val="28"/>
          <w:szCs w:val="28"/>
        </w:rPr>
        <w:t>万元，占一般公共预算项目支出总额的</w:t>
      </w:r>
      <w:r>
        <w:rPr>
          <w:rFonts w:cs="黑体" w:asciiTheme="majorEastAsia" w:hAnsiTheme="majorEastAsia" w:eastAsiaTheme="majorEastAsia"/>
          <w:color w:val="000000"/>
          <w:kern w:val="0"/>
          <w:sz w:val="28"/>
          <w:szCs w:val="28"/>
        </w:rPr>
        <w:t>100%</w:t>
      </w:r>
      <w:r>
        <w:rPr>
          <w:rFonts w:hint="eastAsia" w:cs="黑体" w:asciiTheme="majorEastAsia" w:hAnsiTheme="majorEastAsia" w:eastAsiaTheme="majorEastAsia"/>
          <w:color w:val="000000"/>
          <w:kern w:val="0"/>
          <w:sz w:val="28"/>
          <w:szCs w:val="28"/>
        </w:rPr>
        <w:t>。</w:t>
      </w:r>
      <w:r>
        <w:rPr>
          <w:rFonts w:cs="黑体" w:asciiTheme="majorEastAsia" w:hAnsiTheme="majorEastAsia" w:eastAsiaTheme="majorEastAsia"/>
          <w:color w:val="000000"/>
          <w:kern w:val="0"/>
          <w:sz w:val="28"/>
          <w:szCs w:val="28"/>
        </w:rPr>
        <w:t>2022</w:t>
      </w:r>
      <w:r>
        <w:rPr>
          <w:rFonts w:hint="eastAsia" w:cs="黑体" w:asciiTheme="majorEastAsia" w:hAnsiTheme="majorEastAsia" w:eastAsiaTheme="majorEastAsia"/>
          <w:color w:val="000000"/>
          <w:kern w:val="0"/>
          <w:sz w:val="28"/>
          <w:szCs w:val="28"/>
        </w:rPr>
        <w:t>年度政府性基金预算项目支出开展绩效自评，共涉及资金</w:t>
      </w:r>
      <w:r>
        <w:rPr>
          <w:rFonts w:cs="黑体" w:asciiTheme="majorEastAsia" w:hAnsiTheme="majorEastAsia" w:eastAsiaTheme="majorEastAsia"/>
          <w:color w:val="000000"/>
          <w:kern w:val="0"/>
          <w:sz w:val="28"/>
          <w:szCs w:val="28"/>
        </w:rPr>
        <w:t>0</w:t>
      </w:r>
      <w:r>
        <w:rPr>
          <w:rFonts w:hint="eastAsia" w:cs="黑体" w:asciiTheme="majorEastAsia" w:hAnsiTheme="majorEastAsia" w:eastAsiaTheme="majorEastAsia"/>
          <w:color w:val="000000"/>
          <w:kern w:val="0"/>
          <w:sz w:val="28"/>
          <w:szCs w:val="28"/>
        </w:rPr>
        <w:t>万元，占政府性基金预算项目支出总额的</w:t>
      </w:r>
      <w:r>
        <w:rPr>
          <w:rFonts w:cs="黑体" w:asciiTheme="majorEastAsia" w:hAnsiTheme="majorEastAsia" w:eastAsiaTheme="majorEastAsia"/>
          <w:color w:val="000000"/>
          <w:kern w:val="0"/>
          <w:sz w:val="28"/>
          <w:szCs w:val="28"/>
        </w:rPr>
        <w:t>0%</w:t>
      </w:r>
      <w:r>
        <w:rPr>
          <w:rFonts w:hint="eastAsia" w:cs="黑体" w:asciiTheme="majorEastAsia" w:hAnsiTheme="majorEastAsia" w:eastAsiaTheme="majorEastAsia"/>
          <w:color w:val="000000"/>
          <w:kern w:val="0"/>
          <w:sz w:val="28"/>
          <w:szCs w:val="28"/>
        </w:rPr>
        <w:t>。</w:t>
      </w:r>
      <w:r>
        <w:rPr>
          <w:rFonts w:cs="黑体" w:asciiTheme="majorEastAsia" w:hAnsiTheme="majorEastAsia" w:eastAsiaTheme="majorEastAsia"/>
          <w:color w:val="000000"/>
          <w:kern w:val="0"/>
          <w:sz w:val="28"/>
          <w:szCs w:val="28"/>
        </w:rPr>
        <w:t>2022</w:t>
      </w:r>
      <w:r>
        <w:rPr>
          <w:rFonts w:hint="eastAsia" w:cs="黑体" w:asciiTheme="majorEastAsia" w:hAnsiTheme="majorEastAsia" w:eastAsiaTheme="majorEastAsia"/>
          <w:color w:val="000000"/>
          <w:kern w:val="0"/>
          <w:sz w:val="28"/>
          <w:szCs w:val="28"/>
        </w:rPr>
        <w:t>年度国有资本经营预算项目支出开展绩效自评，共涉及资金</w:t>
      </w:r>
      <w:r>
        <w:rPr>
          <w:rFonts w:cs="黑体" w:asciiTheme="majorEastAsia" w:hAnsiTheme="majorEastAsia" w:eastAsiaTheme="majorEastAsia"/>
          <w:color w:val="000000"/>
          <w:kern w:val="0"/>
          <w:sz w:val="28"/>
          <w:szCs w:val="28"/>
        </w:rPr>
        <w:t>0</w:t>
      </w:r>
      <w:r>
        <w:rPr>
          <w:rFonts w:hint="eastAsia" w:cs="黑体" w:asciiTheme="majorEastAsia" w:hAnsiTheme="majorEastAsia" w:eastAsiaTheme="majorEastAsia"/>
          <w:color w:val="000000"/>
          <w:kern w:val="0"/>
          <w:sz w:val="28"/>
          <w:szCs w:val="28"/>
        </w:rPr>
        <w:t>万元，占国有资本经营预算项目支出总额的</w:t>
      </w:r>
      <w:r>
        <w:rPr>
          <w:rFonts w:cs="黑体" w:asciiTheme="majorEastAsia" w:hAnsiTheme="majorEastAsia" w:eastAsiaTheme="majorEastAsia"/>
          <w:color w:val="000000"/>
          <w:kern w:val="0"/>
          <w:sz w:val="28"/>
          <w:szCs w:val="28"/>
        </w:rPr>
        <w:t>0%</w:t>
      </w:r>
      <w:r>
        <w:rPr>
          <w:rFonts w:hint="eastAsia" w:cs="黑体" w:asciiTheme="majorEastAsia" w:hAnsiTheme="majorEastAsia" w:eastAsiaTheme="majorEastAsia"/>
          <w:color w:val="000000"/>
          <w:kern w:val="0"/>
          <w:sz w:val="28"/>
          <w:szCs w:val="28"/>
        </w:rPr>
        <w:t>。2</w:t>
      </w:r>
      <w:r>
        <w:rPr>
          <w:rFonts w:cs="黑体" w:asciiTheme="majorEastAsia" w:hAnsiTheme="majorEastAsia" w:eastAsiaTheme="majorEastAsia"/>
          <w:color w:val="000000"/>
          <w:kern w:val="0"/>
          <w:sz w:val="28"/>
          <w:szCs w:val="28"/>
        </w:rPr>
        <w:t>022</w:t>
      </w:r>
      <w:r>
        <w:rPr>
          <w:rFonts w:hint="eastAsia" w:cs="黑体" w:asciiTheme="majorEastAsia" w:hAnsiTheme="majorEastAsia" w:eastAsiaTheme="majorEastAsia"/>
          <w:color w:val="000000"/>
          <w:kern w:val="0"/>
          <w:sz w:val="28"/>
          <w:szCs w:val="28"/>
        </w:rPr>
        <w:t>年耒阳市幼儿园</w:t>
      </w:r>
      <w:r>
        <w:rPr>
          <w:rFonts w:hint="eastAsia" w:asciiTheme="majorEastAsia" w:hAnsiTheme="majorEastAsia" w:eastAsiaTheme="majorEastAsia"/>
          <w:color w:val="333333"/>
          <w:sz w:val="28"/>
          <w:szCs w:val="28"/>
        </w:rPr>
        <w:t>规范办学行为，做好教育督导。学校坚持以科学发展观为统领，以教育法规为依据，切实履行教育督导监督、考核、检查、评价、指导的职能，把更新教育观念、强化教育教学管理、规范办学行为作为督导评估工作的中心任务，促进学校教育事业健康发展</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widowControl/>
        <w:spacing w:line="600" w:lineRule="exact"/>
        <w:ind w:firstLine="560" w:firstLineChars="200"/>
        <w:jc w:val="left"/>
        <w:rPr>
          <w:rFonts w:asciiTheme="minorEastAsia" w:hAnsiTheme="minorEastAsia"/>
          <w:sz w:val="28"/>
          <w:szCs w:val="28"/>
        </w:rPr>
      </w:pPr>
      <w:r>
        <w:rPr>
          <w:rFonts w:cs="楷体" w:asciiTheme="minorEastAsia" w:hAnsiTheme="minorEastAsia"/>
          <w:sz w:val="28"/>
          <w:szCs w:val="28"/>
        </w:rPr>
        <w:t>2022</w:t>
      </w:r>
      <w:r>
        <w:rPr>
          <w:rFonts w:hint="eastAsia" w:cs="楷体" w:asciiTheme="minorEastAsia" w:hAnsiTheme="minorEastAsia"/>
          <w:sz w:val="28"/>
          <w:szCs w:val="28"/>
        </w:rPr>
        <w:t>年度耒阳市幼儿园</w:t>
      </w:r>
      <w:r>
        <w:rPr>
          <w:rFonts w:hint="eastAsia" w:cs="宋体" w:asciiTheme="minorEastAsia" w:hAnsiTheme="minorEastAsia"/>
          <w:sz w:val="28"/>
          <w:szCs w:val="28"/>
        </w:rPr>
        <w:t>预算绩效管理工作不够全面，今后要加强预算收支管理，合理制定预算绩效管理目标，提升单位预算绩效管理意识，确保绩效评价取得好的效果。</w:t>
      </w:r>
    </w:p>
    <w:p>
      <w:pPr>
        <w:pStyle w:val="10"/>
        <w:spacing w:line="600" w:lineRule="exact"/>
        <w:ind w:firstLine="640" w:firstLineChars="200"/>
        <w:rPr>
          <w:rFonts w:ascii="楷体" w:hAnsi="楷体" w:eastAsia="楷体" w:cs="楷体"/>
          <w:sz w:val="32"/>
          <w:szCs w:val="32"/>
        </w:rPr>
      </w:pPr>
    </w:p>
    <w:p>
      <w:pPr>
        <w:pStyle w:val="10"/>
        <w:jc w:val="center"/>
        <w:rPr>
          <w:sz w:val="72"/>
          <w:szCs w:val="72"/>
        </w:rPr>
      </w:pPr>
    </w:p>
    <w:p>
      <w:pPr>
        <w:pStyle w:val="10"/>
        <w:ind w:firstLine="4680" w:firstLineChars="1300"/>
        <w:rPr>
          <w:rFonts w:cs="方正小标宋_GBK" w:asciiTheme="minorEastAsia" w:hAnsiTheme="minorEastAsia" w:eastAsiaTheme="minorEastAsia"/>
          <w:sz w:val="36"/>
          <w:szCs w:val="36"/>
        </w:rPr>
      </w:pPr>
      <w:r>
        <w:rPr>
          <w:rFonts w:hint="eastAsia" w:cs="方正小标宋_GBK" w:asciiTheme="minorEastAsia" w:hAnsiTheme="minorEastAsia" w:eastAsiaTheme="minorEastAsia"/>
          <w:sz w:val="36"/>
          <w:szCs w:val="36"/>
        </w:rPr>
        <w:t>第四部分</w:t>
      </w:r>
    </w:p>
    <w:p>
      <w:pPr>
        <w:jc w:val="center"/>
        <w:rPr>
          <w:rFonts w:cs="方正小标宋_GBK" w:asciiTheme="minorEastAsia" w:hAnsiTheme="minorEastAsia"/>
          <w:color w:val="000000"/>
          <w:kern w:val="0"/>
          <w:sz w:val="36"/>
          <w:szCs w:val="36"/>
        </w:rPr>
      </w:pPr>
    </w:p>
    <w:p>
      <w:pPr>
        <w:jc w:val="center"/>
        <w:rPr>
          <w:rFonts w:cs="方正小标宋_GBK" w:asciiTheme="minorEastAsia" w:hAnsiTheme="minorEastAsia"/>
          <w:color w:val="000000"/>
          <w:kern w:val="0"/>
          <w:sz w:val="36"/>
          <w:szCs w:val="36"/>
        </w:rPr>
      </w:pPr>
      <w:r>
        <w:rPr>
          <w:rFonts w:hint="eastAsia" w:cs="方正小标宋_GBK" w:asciiTheme="minorEastAsia" w:hAnsiTheme="minorEastAsia"/>
          <w:color w:val="000000"/>
          <w:kern w:val="0"/>
          <w:sz w:val="36"/>
          <w:szCs w:val="36"/>
        </w:rPr>
        <w:t>名词解释</w:t>
      </w:r>
    </w:p>
    <w:p>
      <w:pPr>
        <w:widowControl/>
        <w:jc w:val="left"/>
        <w:rPr>
          <w:rFonts w:cs="黑体" w:asciiTheme="minorEastAsia" w:hAnsiTheme="minorEastAsia"/>
          <w:color w:val="000000"/>
          <w:kern w:val="0"/>
          <w:sz w:val="32"/>
          <w:szCs w:val="32"/>
        </w:rPr>
      </w:pPr>
      <w:r>
        <w:rPr>
          <w:rFonts w:hint="eastAsia" w:ascii="宋体" w:hAnsi="宋体" w:eastAsia="宋体" w:cs="黑体"/>
          <w:color w:val="000000"/>
          <w:kern w:val="0"/>
          <w:sz w:val="28"/>
          <w:szCs w:val="28"/>
        </w:rPr>
        <w:t>（一）财政拨款收入：是指市财政当年拨付的资金。</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（二）事业收入：指事业单位开展专业业务活动及辅助活动所取得的收入。</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（三）经营收入：指事业单位在专业业务活动及其辅助活动之外开展非独立核算经营活动取得的收入。</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（四）其他收入：是指部门取得的除“财政拨款”、“事业收入”、“经营收入”等以外的收入。</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（六）年初结转和结余：指以前年度尚未完成、结转到本年按有关规定继续使用的资金。</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（七）结余分配：指事业单位按规定提取的职工福利基金、事业基金和缴纳的所得税，以及建设单位按规定应交回的基本建设竣工项目结余资金。</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（八）年末结转和结余：指本年度或以前年度预算安排、因客观条件发生变化无法按原计划实施，需要延迟到以后年度按有关规定继续使用的资金。</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（九）基本支出：指为保障机构正常运转、完成日常工作任务而发生的人员支出和公用支出。</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（十）项目支出：：指在基本支出之外为完成特定行政任务和事业发展目标所发生的支出。</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（十一）经营支出：指事业单位在专业业务活动及其辅助活动之外开展非独立核算经营活动发生的支出。</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十二）“三公”经费：是指财政拨款安排的因公出国（境）费、公务用车购置及运行费和公务接待费。其中，因公出国（境）费反映单位公务出国（境）的住宿费、旅费、伙食补助费、杂费、培训费等支出；公务用车购置及运行费反映单位公务用车购置支出及租用费、燃料费、维修费、过路过桥费、保险费、安全奖励费用等支出；公务接待费反映单位按规定开支的各类公务接待(含外宾接待)支出。</w:t>
      </w:r>
    </w:p>
    <w:p>
      <w:pPr>
        <w:spacing w:line="600" w:lineRule="exact"/>
        <w:rPr>
          <w:rFonts w:ascii="宋体" w:hAnsi="宋体" w:eastAsia="宋体" w:cs="黑体"/>
          <w:color w:val="000000"/>
          <w:kern w:val="0"/>
          <w:sz w:val="28"/>
          <w:szCs w:val="28"/>
        </w:rPr>
      </w:pPr>
      <w:r>
        <w:rPr>
          <w:rFonts w:hint="eastAsia" w:ascii="宋体" w:hAnsi="宋体" w:eastAsia="宋体" w:cs="黑体"/>
          <w:color w:val="000000"/>
          <w:kern w:val="0"/>
          <w:sz w:val="28"/>
          <w:szCs w:val="28"/>
        </w:rPr>
        <w:t>（十三）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1DFB4"/>
    <w:multiLevelType w:val="singleLevel"/>
    <w:tmpl w:val="BB11DFB4"/>
    <w:lvl w:ilvl="0" w:tentative="0">
      <w:start w:val="1"/>
      <w:numFmt w:val="decimal"/>
      <w:lvlText w:val="%1."/>
      <w:lvlJc w:val="left"/>
      <w:pPr>
        <w:tabs>
          <w:tab w:val="left" w:pos="312"/>
        </w:tabs>
      </w:pPr>
    </w:lvl>
  </w:abstractNum>
  <w:abstractNum w:abstractNumId="1">
    <w:nsid w:val="56101132"/>
    <w:multiLevelType w:val="singleLevel"/>
    <w:tmpl w:val="5610113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NzA2Y2JmMjMxMmRkYzkwZjRkMTM4ODhiZmI0NjY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5654A"/>
    <w:rsid w:val="00162D39"/>
    <w:rsid w:val="001678BD"/>
    <w:rsid w:val="00182373"/>
    <w:rsid w:val="001A67DB"/>
    <w:rsid w:val="001A6949"/>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A3EC0"/>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1739"/>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A7D52"/>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538AF"/>
    <w:rsid w:val="00D63780"/>
    <w:rsid w:val="00D644EE"/>
    <w:rsid w:val="00DD06FF"/>
    <w:rsid w:val="00DD5FE9"/>
    <w:rsid w:val="00E00C7A"/>
    <w:rsid w:val="00E37D6C"/>
    <w:rsid w:val="00E55B68"/>
    <w:rsid w:val="00E561AE"/>
    <w:rsid w:val="00E67BE6"/>
    <w:rsid w:val="00E8683C"/>
    <w:rsid w:val="00EA2B72"/>
    <w:rsid w:val="00F61325"/>
    <w:rsid w:val="00F74360"/>
    <w:rsid w:val="00FB462F"/>
    <w:rsid w:val="00FE16FA"/>
    <w:rsid w:val="00FE328A"/>
    <w:rsid w:val="00FE6269"/>
    <w:rsid w:val="00FF2BBF"/>
    <w:rsid w:val="00FF5CD6"/>
    <w:rsid w:val="1F5135D1"/>
    <w:rsid w:val="3550387D"/>
    <w:rsid w:val="3ADB3BD2"/>
    <w:rsid w:val="4DA4367B"/>
    <w:rsid w:val="5777D4F5"/>
    <w:rsid w:val="58CA4A8E"/>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3738</Words>
  <Characters>3997</Characters>
  <Lines>29</Lines>
  <Paragraphs>8</Paragraphs>
  <TotalTime>99</TotalTime>
  <ScaleCrop>false</ScaleCrop>
  <LinksUpToDate>false</LinksUpToDate>
  <CharactersWithSpaces>4015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小草</cp:lastModifiedBy>
  <cp:lastPrinted>2023-08-15T09:28:00Z</cp:lastPrinted>
  <dcterms:modified xsi:type="dcterms:W3CDTF">2023-08-28T01:36:51Z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681D13C4E5DF46BFA6795B9F92E278DB_13</vt:lpwstr>
  </property>
</Properties>
</file>