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800" w:lineRule="exact"/>
        <w:jc w:val="center"/>
        <w:rPr>
          <w:b/>
          <w:sz w:val="48"/>
          <w:szCs w:val="48"/>
        </w:rPr>
      </w:pPr>
    </w:p>
    <w:p>
      <w:pPr>
        <w:spacing w:line="800" w:lineRule="exact"/>
        <w:jc w:val="center"/>
        <w:rPr>
          <w:b/>
          <w:sz w:val="48"/>
          <w:szCs w:val="48"/>
        </w:rPr>
      </w:pPr>
    </w:p>
    <w:p>
      <w:pPr>
        <w:spacing w:before="156" w:after="156" w:line="800" w:lineRule="exact"/>
        <w:jc w:val="center"/>
        <w:rPr>
          <w:rFonts w:hAnsi="宋体"/>
          <w:b/>
          <w:sz w:val="52"/>
          <w:szCs w:val="52"/>
        </w:rPr>
      </w:pPr>
      <w:r>
        <w:rPr>
          <w:rFonts w:hint="eastAsia" w:hAnsi="宋体"/>
          <w:b/>
          <w:sz w:val="52"/>
          <w:szCs w:val="52"/>
        </w:rPr>
        <w:t>耒阳</w:t>
      </w:r>
      <w:r>
        <w:rPr>
          <w:rFonts w:hAnsi="宋体"/>
          <w:b/>
          <w:sz w:val="52"/>
          <w:szCs w:val="52"/>
        </w:rPr>
        <w:t>市</w:t>
      </w:r>
      <w:r>
        <w:rPr>
          <w:rFonts w:hint="eastAsia" w:hAnsi="宋体"/>
          <w:b/>
          <w:sz w:val="52"/>
          <w:szCs w:val="52"/>
        </w:rPr>
        <w:t>普通建筑材料用砂</w:t>
      </w:r>
      <w:r>
        <w:rPr>
          <w:rFonts w:hAnsi="宋体"/>
          <w:b/>
          <w:sz w:val="52"/>
          <w:szCs w:val="52"/>
        </w:rPr>
        <w:t>石</w:t>
      </w:r>
      <w:r>
        <w:rPr>
          <w:rFonts w:hint="eastAsia" w:hAnsi="宋体"/>
          <w:b/>
          <w:sz w:val="52"/>
          <w:szCs w:val="52"/>
        </w:rPr>
        <w:t>土矿</w:t>
      </w:r>
    </w:p>
    <w:p>
      <w:pPr>
        <w:spacing w:before="156" w:after="156" w:line="800" w:lineRule="exact"/>
        <w:jc w:val="center"/>
        <w:rPr>
          <w:b/>
          <w:sz w:val="52"/>
          <w:szCs w:val="52"/>
        </w:rPr>
      </w:pPr>
      <w:r>
        <w:rPr>
          <w:rFonts w:hAnsi="宋体"/>
          <w:b/>
          <w:sz w:val="52"/>
          <w:szCs w:val="52"/>
        </w:rPr>
        <w:t>专项规划</w:t>
      </w:r>
    </w:p>
    <w:p>
      <w:pPr>
        <w:spacing w:before="156" w:after="156" w:line="800" w:lineRule="exact"/>
        <w:jc w:val="center"/>
        <w:rPr>
          <w:b/>
          <w:sz w:val="52"/>
          <w:szCs w:val="52"/>
        </w:rPr>
      </w:pPr>
      <w:r>
        <w:rPr>
          <w:rFonts w:hAnsi="宋体"/>
          <w:b/>
          <w:sz w:val="52"/>
          <w:szCs w:val="52"/>
        </w:rPr>
        <w:t>（</w:t>
      </w:r>
      <w:r>
        <w:rPr>
          <w:b/>
          <w:sz w:val="52"/>
          <w:szCs w:val="52"/>
        </w:rPr>
        <w:t>201</w:t>
      </w:r>
      <w:r>
        <w:rPr>
          <w:rFonts w:hint="eastAsia"/>
          <w:b/>
          <w:sz w:val="52"/>
          <w:szCs w:val="52"/>
        </w:rPr>
        <w:t>9</w:t>
      </w:r>
      <w:r>
        <w:rPr>
          <w:rFonts w:hAnsi="宋体"/>
          <w:b/>
          <w:sz w:val="52"/>
          <w:szCs w:val="52"/>
        </w:rPr>
        <w:t>～</w:t>
      </w:r>
      <w:r>
        <w:rPr>
          <w:b/>
          <w:sz w:val="52"/>
          <w:szCs w:val="52"/>
        </w:rPr>
        <w:t>202</w:t>
      </w:r>
      <w:r>
        <w:rPr>
          <w:rFonts w:hint="eastAsia"/>
          <w:b/>
          <w:sz w:val="52"/>
          <w:szCs w:val="52"/>
        </w:rPr>
        <w:t>5</w:t>
      </w:r>
      <w:r>
        <w:rPr>
          <w:rFonts w:hAnsi="宋体"/>
          <w:b/>
          <w:sz w:val="52"/>
          <w:szCs w:val="52"/>
        </w:rPr>
        <w:t>年）</w:t>
      </w:r>
    </w:p>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sz w:val="32"/>
          <w:szCs w:val="32"/>
        </w:rPr>
      </w:pPr>
    </w:p>
    <w:p>
      <w:pPr>
        <w:jc w:val="center"/>
        <w:rPr>
          <w:b/>
          <w:sz w:val="36"/>
          <w:szCs w:val="36"/>
        </w:rPr>
      </w:pPr>
      <w:r>
        <w:rPr>
          <w:rFonts w:hint="eastAsia"/>
          <w:b/>
          <w:sz w:val="36"/>
          <w:szCs w:val="36"/>
        </w:rPr>
        <w:t>耒 阳</w:t>
      </w:r>
      <w:r>
        <w:rPr>
          <w:b/>
          <w:sz w:val="36"/>
          <w:szCs w:val="36"/>
        </w:rPr>
        <w:t xml:space="preserve"> 市 人 民 政 府</w:t>
      </w:r>
    </w:p>
    <w:p>
      <w:pPr>
        <w:jc w:val="center"/>
        <w:rPr>
          <w:b/>
          <w:sz w:val="36"/>
          <w:szCs w:val="36"/>
        </w:rPr>
      </w:pPr>
      <w:r>
        <w:rPr>
          <w:b/>
          <w:sz w:val="36"/>
          <w:szCs w:val="36"/>
        </w:rPr>
        <w:t>二</w:t>
      </w:r>
      <w:r>
        <w:rPr>
          <w:rFonts w:hint="eastAsia"/>
          <w:b/>
          <w:sz w:val="36"/>
          <w:szCs w:val="36"/>
        </w:rPr>
        <w:t>〇二〇</w:t>
      </w:r>
      <w:r>
        <w:rPr>
          <w:b/>
          <w:sz w:val="36"/>
          <w:szCs w:val="36"/>
        </w:rPr>
        <w:t>年</w:t>
      </w:r>
      <w:r>
        <w:rPr>
          <w:rFonts w:hint="eastAsia"/>
          <w:b/>
          <w:sz w:val="36"/>
          <w:szCs w:val="36"/>
        </w:rPr>
        <w:t>六</w:t>
      </w:r>
      <w:r>
        <w:rPr>
          <w:b/>
          <w:sz w:val="36"/>
          <w:szCs w:val="36"/>
        </w:rPr>
        <w:t>月</w:t>
      </w:r>
    </w:p>
    <w:p>
      <w:pPr>
        <w:jc w:val="center"/>
        <w:rPr>
          <w:sz w:val="32"/>
          <w:szCs w:val="32"/>
        </w:rPr>
      </w:pPr>
    </w:p>
    <w:p>
      <w:pPr>
        <w:spacing w:line="800" w:lineRule="exact"/>
        <w:jc w:val="center"/>
        <w:rPr>
          <w:rFonts w:hAnsi="宋体"/>
          <w:b/>
          <w:sz w:val="48"/>
          <w:szCs w:val="48"/>
        </w:rPr>
      </w:pPr>
    </w:p>
    <w:p>
      <w:pPr>
        <w:pStyle w:val="2"/>
        <w:ind w:firstLine="280"/>
      </w:pPr>
      <w:r>
        <w:br w:type="page"/>
      </w:r>
    </w:p>
    <w:p>
      <w:pPr>
        <w:jc w:val="center"/>
        <w:rPr>
          <w:b/>
          <w:bCs/>
          <w:sz w:val="36"/>
          <w:szCs w:val="36"/>
        </w:rPr>
      </w:pPr>
      <w:r>
        <w:rPr>
          <w:b/>
          <w:bCs/>
          <w:sz w:val="36"/>
          <w:szCs w:val="36"/>
        </w:rPr>
        <w:t>目 录</w:t>
      </w:r>
    </w:p>
    <w:p>
      <w:pPr>
        <w:pStyle w:val="13"/>
        <w:tabs>
          <w:tab w:val="right" w:leader="dot" w:pos="8312"/>
        </w:tabs>
        <w:spacing w:line="480" w:lineRule="auto"/>
        <w:rPr>
          <w:rFonts w:asciiTheme="minorEastAsia" w:hAnsiTheme="minorEastAsia" w:eastAsiaTheme="minorEastAsia" w:cstheme="minorEastAsia"/>
          <w:sz w:val="24"/>
        </w:rPr>
      </w:pPr>
      <w:r>
        <w:rPr>
          <w:rFonts w:hint="eastAsia" w:asciiTheme="minorEastAsia" w:hAnsiTheme="minorEastAsia" w:eastAsiaTheme="minorEastAsia" w:cstheme="minorEastAsia"/>
          <w:sz w:val="28"/>
          <w:szCs w:val="28"/>
        </w:rPr>
        <w:fldChar w:fldCharType="begin"/>
      </w:r>
      <w:r>
        <w:rPr>
          <w:rFonts w:hint="eastAsia" w:asciiTheme="minorEastAsia" w:hAnsiTheme="minorEastAsia" w:eastAsiaTheme="minorEastAsia" w:cstheme="minorEastAsia"/>
          <w:sz w:val="28"/>
          <w:szCs w:val="28"/>
        </w:rPr>
        <w:instrText xml:space="preserve"> TOC \o "1-2" \h \z \u </w:instrText>
      </w:r>
      <w:r>
        <w:rPr>
          <w:rFonts w:hint="eastAsia" w:asciiTheme="minorEastAsia" w:hAnsiTheme="minorEastAsia" w:eastAsiaTheme="minorEastAsia" w:cstheme="minorEastAsia"/>
          <w:sz w:val="28"/>
          <w:szCs w:val="28"/>
        </w:rPr>
        <w:fldChar w:fldCharType="separate"/>
      </w:r>
      <w:r>
        <w:fldChar w:fldCharType="begin"/>
      </w:r>
      <w:r>
        <w:instrText xml:space="preserve"> HYPERLINK \l "_Toc9521" </w:instrText>
      </w:r>
      <w:r>
        <w:fldChar w:fldCharType="separate"/>
      </w:r>
      <w:r>
        <w:rPr>
          <w:rFonts w:hint="eastAsia" w:asciiTheme="minorEastAsia" w:hAnsiTheme="minorEastAsia" w:eastAsiaTheme="minorEastAsia" w:cstheme="minorEastAsia"/>
          <w:b/>
          <w:bCs/>
          <w:sz w:val="24"/>
        </w:rPr>
        <w:t>前 言</w:t>
      </w:r>
      <w:r>
        <w:rPr>
          <w:rFonts w:hint="eastAsia" w:asciiTheme="minorEastAsia" w:hAnsiTheme="minorEastAsia" w:eastAsiaTheme="minorEastAsia" w:cstheme="minorEastAsia"/>
          <w:b/>
          <w:bCs/>
          <w:sz w:val="24"/>
        </w:rPr>
        <w:tab/>
      </w:r>
      <w:r>
        <w:rPr>
          <w:rFonts w:hint="eastAsia" w:asciiTheme="minorEastAsia" w:hAnsiTheme="minorEastAsia" w:eastAsiaTheme="minorEastAsia" w:cstheme="minorEastAsia"/>
          <w:b/>
          <w:bCs/>
          <w:sz w:val="24"/>
        </w:rPr>
        <w:fldChar w:fldCharType="begin"/>
      </w:r>
      <w:r>
        <w:rPr>
          <w:rFonts w:hint="eastAsia" w:asciiTheme="minorEastAsia" w:hAnsiTheme="minorEastAsia" w:eastAsiaTheme="minorEastAsia" w:cstheme="minorEastAsia"/>
          <w:b/>
          <w:bCs/>
          <w:sz w:val="24"/>
        </w:rPr>
        <w:instrText xml:space="preserve"> PAGEREF _Toc9521 </w:instrText>
      </w:r>
      <w:r>
        <w:rPr>
          <w:rFonts w:hint="eastAsia" w:asciiTheme="minorEastAsia" w:hAnsiTheme="minorEastAsia" w:eastAsiaTheme="minorEastAsia" w:cstheme="minorEastAsia"/>
          <w:b/>
          <w:bCs/>
          <w:sz w:val="24"/>
        </w:rPr>
        <w:fldChar w:fldCharType="separate"/>
      </w:r>
      <w:r>
        <w:rPr>
          <w:rFonts w:hint="eastAsia" w:asciiTheme="minorEastAsia" w:hAnsiTheme="minorEastAsia" w:eastAsiaTheme="minorEastAsia" w:cstheme="minorEastAsia"/>
          <w:b/>
          <w:bCs/>
          <w:sz w:val="24"/>
        </w:rPr>
        <w:t>1</w:t>
      </w:r>
      <w:r>
        <w:rPr>
          <w:rFonts w:hint="eastAsia" w:asciiTheme="minorEastAsia" w:hAnsiTheme="minorEastAsia" w:eastAsiaTheme="minorEastAsia" w:cstheme="minorEastAsia"/>
          <w:b/>
          <w:bCs/>
          <w:sz w:val="24"/>
        </w:rPr>
        <w:fldChar w:fldCharType="end"/>
      </w:r>
      <w:r>
        <w:rPr>
          <w:rFonts w:hint="eastAsia" w:asciiTheme="minorEastAsia" w:hAnsiTheme="minorEastAsia" w:eastAsiaTheme="minorEastAsia" w:cstheme="minorEastAsia"/>
          <w:b/>
          <w:bCs/>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"_Toc11521" </w:instrText>
      </w:r>
      <w:r>
        <w:fldChar w:fldCharType="separate"/>
      </w:r>
      <w:r>
        <w:rPr>
          <w:rFonts w:hint="eastAsia" w:asciiTheme="minorEastAsia" w:hAnsiTheme="minorEastAsia" w:eastAsiaTheme="minorEastAsia" w:cstheme="minorEastAsia"/>
          <w:b/>
          <w:sz w:val="24"/>
        </w:rPr>
        <w:t>一、现状与形势</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_Toc11521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"_Toc32692" </w:instrText>
      </w:r>
      <w:r>
        <w:fldChar w:fldCharType="separate"/>
      </w:r>
      <w:r>
        <w:rPr>
          <w:rFonts w:hint="eastAsia" w:asciiTheme="minorEastAsia" w:hAnsiTheme="minorEastAsia" w:eastAsiaTheme="minorEastAsia" w:cstheme="minorEastAsia"/>
          <w:sz w:val="24"/>
        </w:rPr>
        <w:t>(一)资源分布及开发现状</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_Toc32692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"_Toc32166" </w:instrText>
      </w:r>
      <w:r>
        <w:fldChar w:fldCharType="separate"/>
      </w:r>
      <w:r>
        <w:rPr>
          <w:rFonts w:hint="eastAsia" w:asciiTheme="minorEastAsia" w:hAnsiTheme="minorEastAsia" w:eastAsiaTheme="minorEastAsia" w:cstheme="minorEastAsia"/>
          <w:sz w:val="24"/>
        </w:rPr>
        <w:t>(二) 存在的主要问题</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_Toc32166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7</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"_Toc17508" </w:instrText>
      </w:r>
      <w:r>
        <w:fldChar w:fldCharType="separate"/>
      </w:r>
      <w:r>
        <w:rPr>
          <w:rFonts w:hint="eastAsia" w:asciiTheme="minorEastAsia" w:hAnsiTheme="minorEastAsia" w:eastAsiaTheme="minorEastAsia" w:cstheme="minorEastAsia"/>
          <w:sz w:val="24"/>
        </w:rPr>
        <w:t>(三)形势与要求</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_Toc17508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8</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"_Toc1625" </w:instrText>
      </w:r>
      <w:r>
        <w:fldChar w:fldCharType="separate"/>
      </w:r>
      <w:r>
        <w:rPr>
          <w:rFonts w:hint="eastAsia" w:asciiTheme="minorEastAsia" w:hAnsiTheme="minorEastAsia" w:eastAsiaTheme="minorEastAsia" w:cstheme="minorEastAsia"/>
          <w:b/>
          <w:sz w:val="24"/>
        </w:rPr>
        <w:t>二、指导思想、原则与目标</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_Toc1625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"_Toc13849" </w:instrText>
      </w:r>
      <w:r>
        <w:fldChar w:fldCharType="separate"/>
      </w:r>
      <w:r>
        <w:rPr>
          <w:rFonts w:hint="eastAsia" w:asciiTheme="minorEastAsia" w:hAnsiTheme="minorEastAsia" w:eastAsiaTheme="minorEastAsia" w:cstheme="minorEastAsia"/>
          <w:sz w:val="24"/>
        </w:rPr>
        <w:t>(一)指导思想</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_Toc13849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"_Toc23918" </w:instrText>
      </w:r>
      <w:r>
        <w:fldChar w:fldCharType="separate"/>
      </w:r>
      <w:r>
        <w:rPr>
          <w:rFonts w:hint="eastAsia" w:asciiTheme="minorEastAsia" w:hAnsiTheme="minorEastAsia" w:eastAsiaTheme="minorEastAsia" w:cstheme="minorEastAsia"/>
          <w:sz w:val="24"/>
        </w:rPr>
        <w:t>(二)基本原则</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_Toc23918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"_Toc15719" </w:instrText>
      </w:r>
      <w:r>
        <w:fldChar w:fldCharType="separate"/>
      </w:r>
      <w:r>
        <w:rPr>
          <w:rFonts w:hint="eastAsia" w:asciiTheme="minorEastAsia" w:hAnsiTheme="minorEastAsia" w:eastAsiaTheme="minorEastAsia" w:cstheme="minorEastAsia"/>
          <w:sz w:val="24"/>
        </w:rPr>
        <w:t>(三)规划目标</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_Toc15719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11</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"_Toc28290" </w:instrText>
      </w:r>
      <w:r>
        <w:fldChar w:fldCharType="separate"/>
      </w:r>
      <w:r>
        <w:rPr>
          <w:rFonts w:hint="eastAsia" w:asciiTheme="minorEastAsia" w:hAnsiTheme="minorEastAsia" w:eastAsiaTheme="minorEastAsia" w:cstheme="minorEastAsia"/>
          <w:b/>
          <w:sz w:val="24"/>
        </w:rPr>
        <w:t>三、总量控制与资源开发布局</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_Toc28290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"_Toc12105" </w:instrText>
      </w:r>
      <w:r>
        <w:fldChar w:fldCharType="separate"/>
      </w:r>
      <w:r>
        <w:rPr>
          <w:rFonts w:hint="eastAsia" w:asciiTheme="minorEastAsia" w:hAnsiTheme="minorEastAsia" w:eastAsiaTheme="minorEastAsia" w:cstheme="minorEastAsia"/>
          <w:sz w:val="24"/>
        </w:rPr>
        <w:t>(一)总量控制</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_Toc12105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"_Toc23325" </w:instrText>
      </w:r>
      <w:r>
        <w:fldChar w:fldCharType="separate"/>
      </w:r>
      <w:r>
        <w:rPr>
          <w:rFonts w:hint="eastAsia" w:asciiTheme="minorEastAsia" w:hAnsiTheme="minorEastAsia" w:eastAsiaTheme="minorEastAsia" w:cstheme="minorEastAsia"/>
          <w:sz w:val="24"/>
        </w:rPr>
        <w:t>(二)开采分区</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_Toc23325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14</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"_Toc3543" </w:instrText>
      </w:r>
      <w:r>
        <w:fldChar w:fldCharType="separate"/>
      </w:r>
      <w:r>
        <w:rPr>
          <w:rFonts w:hint="eastAsia" w:asciiTheme="minorEastAsia" w:hAnsiTheme="minorEastAsia" w:eastAsiaTheme="minorEastAsia" w:cstheme="minorEastAsia"/>
          <w:sz w:val="24"/>
        </w:rPr>
        <w:t>(三)开采准入条件</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_Toc3543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23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"_Toc4341" </w:instrText>
      </w:r>
      <w:r>
        <w:fldChar w:fldCharType="separate"/>
      </w:r>
      <w:r>
        <w:rPr>
          <w:rFonts w:hint="eastAsia" w:asciiTheme="minorEastAsia" w:hAnsiTheme="minorEastAsia" w:eastAsiaTheme="minorEastAsia" w:cstheme="minorEastAsia"/>
          <w:sz w:val="24"/>
        </w:rPr>
        <w:t>(四)新设和单独保留采矿权设置</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_Toc4341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24</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"_Toc15336" </w:instrText>
      </w:r>
      <w:r>
        <w:fldChar w:fldCharType="separate"/>
      </w:r>
      <w:r>
        <w:rPr>
          <w:rFonts w:hint="eastAsia" w:asciiTheme="minorEastAsia" w:hAnsiTheme="minorEastAsia" w:eastAsiaTheme="minorEastAsia" w:cstheme="minorEastAsia"/>
          <w:sz w:val="24"/>
        </w:rPr>
        <w:t>(五) 整合和扩界矿山设置</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_Toc15336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25</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"_Toc19355" </w:instrText>
      </w:r>
      <w:r>
        <w:fldChar w:fldCharType="separate"/>
      </w:r>
      <w:r>
        <w:rPr>
          <w:rFonts w:hint="eastAsia" w:asciiTheme="minorEastAsia" w:hAnsiTheme="minorEastAsia" w:eastAsiaTheme="minorEastAsia" w:cstheme="minorEastAsia"/>
          <w:sz w:val="24"/>
        </w:rPr>
        <w:t>(六)限期退出矿山</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_Toc19355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39</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"_Toc8851" </w:instrText>
      </w:r>
      <w:r>
        <w:fldChar w:fldCharType="separate"/>
      </w:r>
      <w:r>
        <w:rPr>
          <w:rFonts w:hint="eastAsia" w:asciiTheme="minorEastAsia" w:hAnsiTheme="minorEastAsia" w:eastAsiaTheme="minorEastAsia" w:cstheme="minorEastAsia"/>
          <w:sz w:val="24"/>
        </w:rPr>
        <w:t>(七)关闭退出矿山</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_Toc8851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39</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"_Toc9317" </w:instrText>
      </w:r>
      <w:r>
        <w:fldChar w:fldCharType="separate"/>
      </w:r>
      <w:r>
        <w:rPr>
          <w:rFonts w:hint="eastAsia" w:asciiTheme="minorEastAsia" w:hAnsiTheme="minorEastAsia" w:eastAsiaTheme="minorEastAsia" w:cstheme="minorEastAsia"/>
          <w:sz w:val="24"/>
        </w:rPr>
        <w:t>(八)遗留问题矿山</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_Toc9317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41</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"_Toc32748" </w:instrText>
      </w:r>
      <w:r>
        <w:fldChar w:fldCharType="separate"/>
      </w:r>
      <w:r>
        <w:rPr>
          <w:rFonts w:hint="eastAsia" w:asciiTheme="minorEastAsia" w:hAnsiTheme="minorEastAsia" w:eastAsiaTheme="minorEastAsia" w:cstheme="minorEastAsia"/>
          <w:b/>
          <w:sz w:val="24"/>
        </w:rPr>
        <w:t>四、生态环境（含地质环境）修复治理</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_Toc32748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43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"_Toc10959" </w:instrText>
      </w:r>
      <w:r>
        <w:fldChar w:fldCharType="separate"/>
      </w:r>
      <w:r>
        <w:rPr>
          <w:rFonts w:hint="eastAsia" w:asciiTheme="minorEastAsia" w:hAnsiTheme="minorEastAsia" w:eastAsiaTheme="minorEastAsia" w:cstheme="minorEastAsia"/>
          <w:sz w:val="24"/>
        </w:rPr>
        <w:t>(一)生产矿山生态环境修复治理</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_Toc10959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43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"_Toc4208" </w:instrText>
      </w:r>
      <w:r>
        <w:fldChar w:fldCharType="separate"/>
      </w:r>
      <w:r>
        <w:rPr>
          <w:rFonts w:hint="eastAsia" w:asciiTheme="minorEastAsia" w:hAnsiTheme="minorEastAsia" w:eastAsiaTheme="minorEastAsia" w:cstheme="minorEastAsia"/>
          <w:sz w:val="24"/>
        </w:rPr>
        <w:t>(二)历史遗留矿山生态环境修复治理</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_Toc4208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45</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"_Toc4258" </w:instrText>
      </w:r>
      <w:r>
        <w:fldChar w:fldCharType="separate"/>
      </w:r>
      <w:r>
        <w:rPr>
          <w:rFonts w:hint="eastAsia" w:asciiTheme="minorEastAsia" w:hAnsiTheme="minorEastAsia" w:eastAsiaTheme="minorEastAsia" w:cstheme="minorEastAsia"/>
          <w:b/>
          <w:sz w:val="24"/>
        </w:rPr>
        <w:t>五、矿业转型升级与绿色发展</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_Toc4258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48</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"_Toc4343" </w:instrText>
      </w:r>
      <w:r>
        <w:fldChar w:fldCharType="separate"/>
      </w:r>
      <w:r>
        <w:rPr>
          <w:rFonts w:hint="eastAsia" w:asciiTheme="minorEastAsia" w:hAnsiTheme="minorEastAsia" w:eastAsiaTheme="minorEastAsia" w:cstheme="minorEastAsia"/>
          <w:sz w:val="24"/>
        </w:rPr>
        <w:t>(一)产业结构调整</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_Toc4343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48</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"_Toc4265" </w:instrText>
      </w:r>
      <w:r>
        <w:fldChar w:fldCharType="separate"/>
      </w:r>
      <w:r>
        <w:rPr>
          <w:rFonts w:hint="eastAsia" w:asciiTheme="minorEastAsia" w:hAnsiTheme="minorEastAsia" w:eastAsiaTheme="minorEastAsia" w:cstheme="minorEastAsia"/>
          <w:sz w:val="24"/>
        </w:rPr>
        <w:t>(二)绿色矿山建设</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_Toc4265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48</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"_Toc17711" </w:instrText>
      </w:r>
      <w:r>
        <w:fldChar w:fldCharType="separate"/>
      </w:r>
      <w:r>
        <w:rPr>
          <w:rFonts w:hint="eastAsia" w:asciiTheme="minorEastAsia" w:hAnsiTheme="minorEastAsia" w:eastAsiaTheme="minorEastAsia" w:cstheme="minorEastAsia"/>
          <w:b/>
          <w:sz w:val="24"/>
        </w:rPr>
        <w:t>六、重点工程</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_Toc17711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51</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"_Toc11197" </w:instrText>
      </w:r>
      <w:r>
        <w:fldChar w:fldCharType="separate"/>
      </w:r>
      <w:r>
        <w:rPr>
          <w:rFonts w:hint="eastAsia" w:asciiTheme="minorEastAsia" w:hAnsiTheme="minorEastAsia" w:eastAsiaTheme="minorEastAsia" w:cstheme="minorEastAsia"/>
          <w:b/>
          <w:sz w:val="24"/>
        </w:rPr>
        <w:t>七、规划管理与实施</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_Toc11197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53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"_Toc20197" </w:instrText>
      </w:r>
      <w:r>
        <w:fldChar w:fldCharType="separate"/>
      </w:r>
      <w:r>
        <w:rPr>
          <w:rFonts w:hint="eastAsia" w:asciiTheme="minorEastAsia" w:hAnsiTheme="minorEastAsia" w:eastAsiaTheme="minorEastAsia" w:cstheme="minorEastAsia"/>
          <w:sz w:val="24"/>
        </w:rPr>
        <w:t>(一)矿产资源管理</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_Toc20197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53</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rPr>
          <w:rFonts w:asciiTheme="minorEastAsia" w:hAnsiTheme="minorEastAsia" w:eastAsiaTheme="minorEastAsia" w:cstheme="minorEastAsia"/>
          <w:sz w:val="24"/>
        </w:rPr>
      </w:pPr>
      <w:r>
        <w:fldChar w:fldCharType="begin"/>
      </w:r>
      <w:r>
        <w:instrText xml:space="preserve"> HYPERLINK \l "_Toc30566" </w:instrText>
      </w:r>
      <w:r>
        <w:fldChar w:fldCharType="separate"/>
      </w:r>
      <w:r>
        <w:rPr>
          <w:rFonts w:hint="eastAsia" w:asciiTheme="minorEastAsia" w:hAnsiTheme="minorEastAsia" w:eastAsiaTheme="minorEastAsia" w:cstheme="minorEastAsia"/>
          <w:sz w:val="24"/>
        </w:rPr>
        <w:t>(二)规划实施保障措施</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_Toc30566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54</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pStyle w:val="14"/>
        <w:tabs>
          <w:tab w:val="right" w:leader="dot" w:pos="8312"/>
        </w:tabs>
        <w:spacing w:line="480" w:lineRule="auto"/>
      </w:pPr>
      <w:r>
        <w:fldChar w:fldCharType="begin"/>
      </w:r>
      <w:r>
        <w:instrText xml:space="preserve"> HYPERLINK \l "_Toc17580" </w:instrText>
      </w:r>
      <w:r>
        <w:fldChar w:fldCharType="separate"/>
      </w:r>
      <w:r>
        <w:rPr>
          <w:rFonts w:hint="eastAsia" w:asciiTheme="minorEastAsia" w:hAnsiTheme="minorEastAsia" w:eastAsiaTheme="minorEastAsia" w:cstheme="minorEastAsia"/>
          <w:b/>
          <w:sz w:val="24"/>
          <w:lang w:val="zh-TW"/>
        </w:rPr>
        <w:t>附则：</w:t>
      </w:r>
      <w:r>
        <w:rPr>
          <w:rFonts w:hint="eastAsia" w:asciiTheme="minorEastAsia" w:hAnsiTheme="minorEastAsia" w:eastAsiaTheme="minorEastAsia" w:cstheme="minorEastAsia"/>
          <w:sz w:val="24"/>
        </w:rPr>
        <w:tab/>
      </w:r>
      <w:r>
        <w:rPr>
          <w:rFonts w:hint="eastAsia" w:asciiTheme="minorEastAsia" w:hAnsiTheme="minorEastAsia" w:eastAsiaTheme="minorEastAsia" w:cstheme="minorEastAsia"/>
          <w:sz w:val="24"/>
        </w:rPr>
        <w:fldChar w:fldCharType="begin"/>
      </w:r>
      <w:r>
        <w:rPr>
          <w:rFonts w:hint="eastAsia" w:asciiTheme="minorEastAsia" w:hAnsiTheme="minorEastAsia" w:eastAsiaTheme="minorEastAsia" w:cstheme="minorEastAsia"/>
          <w:sz w:val="24"/>
        </w:rPr>
        <w:instrText xml:space="preserve"> PAGEREF _Toc17580 </w:instrText>
      </w:r>
      <w:r>
        <w:rPr>
          <w:rFonts w:hint="eastAsia" w:asciiTheme="minorEastAsia" w:hAnsiTheme="minorEastAsia" w:eastAsiaTheme="minorEastAsia" w:cstheme="minorEastAsia"/>
          <w:sz w:val="24"/>
        </w:rPr>
        <w:fldChar w:fldCharType="separate"/>
      </w:r>
      <w:r>
        <w:rPr>
          <w:rFonts w:hint="eastAsia" w:asciiTheme="minorEastAsia" w:hAnsiTheme="minorEastAsia" w:eastAsiaTheme="minorEastAsia" w:cstheme="minorEastAsia"/>
          <w:sz w:val="24"/>
        </w:rPr>
        <w:t>56</w:t>
      </w:r>
      <w:r>
        <w:rPr>
          <w:rFonts w:hint="eastAsia" w:asciiTheme="minorEastAsia" w:hAnsiTheme="minorEastAsia" w:eastAsiaTheme="minorEastAsia" w:cstheme="minorEastAsia"/>
          <w:sz w:val="24"/>
        </w:rPr>
        <w:fldChar w:fldCharType="end"/>
      </w:r>
      <w:r>
        <w:rPr>
          <w:rFonts w:hint="eastAsia" w:asciiTheme="minorEastAsia" w:hAnsiTheme="minorEastAsia" w:eastAsiaTheme="minorEastAsia" w:cstheme="minorEastAsia"/>
          <w:sz w:val="24"/>
        </w:rPr>
        <w:fldChar w:fldCharType="end"/>
      </w:r>
    </w:p>
    <w:p>
      <w:pPr>
        <w:spacing w:line="480" w:lineRule="auto"/>
        <w:jc w:val="center"/>
        <w:rPr>
          <w:rFonts w:asciiTheme="minorEastAsia" w:hAnsiTheme="minorEastAsia" w:eastAsiaTheme="minorEastAsia" w:cstheme="minorEastAsia"/>
          <w:bCs/>
          <w:sz w:val="28"/>
          <w:szCs w:val="28"/>
        </w:rPr>
      </w:pPr>
      <w:r>
        <w:rPr>
          <w:rFonts w:hint="eastAsia" w:asciiTheme="minorEastAsia" w:hAnsiTheme="minorEastAsia" w:eastAsiaTheme="minorEastAsia" w:cstheme="minorEastAsia"/>
          <w:szCs w:val="28"/>
        </w:rPr>
        <w:fldChar w:fldCharType="end"/>
      </w: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pPr>
    </w:p>
    <w:p>
      <w:pPr>
        <w:spacing w:line="440" w:lineRule="exact"/>
        <w:ind w:firstLine="723" w:firstLineChars="200"/>
        <w:jc w:val="center"/>
        <w:rPr>
          <w:rFonts w:ascii="宋体" w:hAnsi="宋体"/>
          <w:b/>
          <w:sz w:val="36"/>
          <w:szCs w:val="36"/>
        </w:rPr>
        <w:sectPr>
          <w:pgSz w:w="11906" w:h="16838"/>
          <w:pgMar w:top="1440" w:right="1797" w:bottom="1440" w:left="1797" w:header="851" w:footer="992" w:gutter="0"/>
          <w:cols w:space="720" w:num="1"/>
          <w:docGrid w:type="lines" w:linePitch="325" w:charSpace="0"/>
        </w:sectPr>
      </w:pPr>
    </w:p>
    <w:p>
      <w:pPr>
        <w:spacing w:line="440" w:lineRule="exact"/>
        <w:ind w:firstLine="723" w:firstLineChars="200"/>
        <w:jc w:val="center"/>
        <w:rPr>
          <w:rFonts w:ascii="宋体" w:hAnsi="宋体"/>
          <w:b/>
          <w:sz w:val="36"/>
          <w:szCs w:val="36"/>
        </w:rPr>
      </w:pPr>
      <w:r>
        <w:rPr>
          <w:rFonts w:hint="eastAsia" w:ascii="宋体" w:hAnsi="宋体"/>
          <w:b/>
          <w:sz w:val="36"/>
          <w:szCs w:val="36"/>
        </w:rPr>
        <w:t>附 表 目 录</w:t>
      </w:r>
    </w:p>
    <w:p>
      <w:pPr>
        <w:jc w:val="left"/>
        <w:rPr>
          <w:rFonts w:ascii="宋体" w:hAnsi="宋体"/>
          <w:bCs/>
          <w:sz w:val="28"/>
          <w:szCs w:val="28"/>
        </w:rPr>
      </w:pPr>
      <w:r>
        <w:rPr>
          <w:rFonts w:hint="eastAsia" w:ascii="宋体" w:hAnsi="宋体"/>
          <w:bCs/>
          <w:sz w:val="28"/>
          <w:szCs w:val="28"/>
        </w:rPr>
        <w:t>附表1：  耒阳市普通建筑材料用砂石土矿开发利用现状表</w:t>
      </w:r>
    </w:p>
    <w:p>
      <w:pPr>
        <w:jc w:val="left"/>
        <w:rPr>
          <w:rFonts w:ascii="宋体" w:hAnsi="宋体"/>
          <w:bCs/>
          <w:sz w:val="28"/>
          <w:szCs w:val="28"/>
        </w:rPr>
      </w:pPr>
      <w:r>
        <w:rPr>
          <w:rFonts w:hint="eastAsia" w:ascii="宋体" w:hAnsi="宋体"/>
          <w:bCs/>
          <w:sz w:val="28"/>
          <w:szCs w:val="28"/>
        </w:rPr>
        <w:t>附表2：  耒阳市探矿权现状表（所有矿种）</w:t>
      </w:r>
    </w:p>
    <w:p>
      <w:pPr>
        <w:jc w:val="left"/>
        <w:rPr>
          <w:rFonts w:ascii="宋体" w:hAnsi="宋体"/>
          <w:bCs/>
          <w:sz w:val="28"/>
          <w:szCs w:val="28"/>
        </w:rPr>
      </w:pPr>
      <w:r>
        <w:rPr>
          <w:rFonts w:hint="eastAsia" w:ascii="宋体" w:hAnsi="宋体"/>
          <w:bCs/>
          <w:sz w:val="28"/>
          <w:szCs w:val="28"/>
        </w:rPr>
        <w:t>附表3：  耒阳市采矿权现状表（所有矿种）</w:t>
      </w:r>
    </w:p>
    <w:p>
      <w:pPr>
        <w:jc w:val="left"/>
        <w:rPr>
          <w:rFonts w:ascii="宋体" w:hAnsi="宋体"/>
          <w:bCs/>
          <w:sz w:val="28"/>
          <w:szCs w:val="28"/>
        </w:rPr>
      </w:pPr>
      <w:r>
        <w:rPr>
          <w:rFonts w:hint="eastAsia" w:ascii="宋体" w:hAnsi="宋体"/>
          <w:bCs/>
          <w:sz w:val="28"/>
          <w:szCs w:val="28"/>
        </w:rPr>
        <w:t>附表4：  耒阳市普通建筑材料用砂石土矿产资源开采分区表</w:t>
      </w:r>
    </w:p>
    <w:p>
      <w:pPr>
        <w:ind w:left="1400" w:hanging="1400" w:hangingChars="500"/>
        <w:jc w:val="left"/>
        <w:rPr>
          <w:rFonts w:ascii="宋体" w:hAnsi="宋体"/>
          <w:bCs/>
          <w:sz w:val="28"/>
          <w:szCs w:val="28"/>
        </w:rPr>
      </w:pPr>
      <w:r>
        <w:rPr>
          <w:rFonts w:hint="eastAsia" w:ascii="宋体" w:hAnsi="宋体"/>
          <w:bCs/>
          <w:sz w:val="28"/>
          <w:szCs w:val="28"/>
        </w:rPr>
        <w:t>附表5：  耒阳市普通建筑材料用砂石土矿开采规划区块（采矿权设置）表</w:t>
      </w:r>
    </w:p>
    <w:p>
      <w:pPr>
        <w:jc w:val="left"/>
        <w:rPr>
          <w:rFonts w:ascii="宋体" w:hAnsi="宋体"/>
          <w:bCs/>
          <w:sz w:val="28"/>
          <w:szCs w:val="28"/>
        </w:rPr>
      </w:pPr>
      <w:r>
        <w:rPr>
          <w:rFonts w:hint="eastAsia" w:ascii="宋体" w:hAnsi="宋体"/>
          <w:bCs/>
          <w:sz w:val="28"/>
          <w:szCs w:val="28"/>
        </w:rPr>
        <w:t>附表6：  耒阳市普通建筑材料用砂石土矿整合规划表</w:t>
      </w:r>
    </w:p>
    <w:p>
      <w:pPr>
        <w:jc w:val="left"/>
        <w:rPr>
          <w:rFonts w:ascii="宋体" w:hAnsi="宋体"/>
          <w:bCs/>
          <w:sz w:val="28"/>
          <w:szCs w:val="28"/>
        </w:rPr>
      </w:pPr>
      <w:r>
        <w:rPr>
          <w:rFonts w:hint="eastAsia" w:ascii="宋体" w:hAnsi="宋体"/>
          <w:bCs/>
          <w:sz w:val="28"/>
          <w:szCs w:val="28"/>
        </w:rPr>
        <w:t>附表7：  耒阳市普通建筑材料用砂石土矿关闭退出规划表</w:t>
      </w:r>
    </w:p>
    <w:p>
      <w:pPr>
        <w:jc w:val="center"/>
        <w:rPr>
          <w:rFonts w:ascii="宋体" w:hAnsi="宋体"/>
          <w:b/>
          <w:sz w:val="36"/>
          <w:szCs w:val="36"/>
        </w:rPr>
      </w:pPr>
    </w:p>
    <w:p>
      <w:pPr>
        <w:jc w:val="center"/>
        <w:rPr>
          <w:rFonts w:ascii="宋体" w:hAnsi="宋体"/>
          <w:b/>
          <w:sz w:val="36"/>
          <w:szCs w:val="36"/>
        </w:rPr>
      </w:pPr>
      <w:r>
        <w:rPr>
          <w:rFonts w:hint="eastAsia" w:ascii="宋体" w:hAnsi="宋体"/>
          <w:b/>
          <w:sz w:val="36"/>
          <w:szCs w:val="36"/>
        </w:rPr>
        <w:t>附 图 目 录</w:t>
      </w:r>
    </w:p>
    <w:p>
      <w:pPr>
        <w:jc w:val="left"/>
        <w:rPr>
          <w:rFonts w:ascii="宋体" w:hAnsi="宋体"/>
          <w:bCs/>
          <w:sz w:val="28"/>
          <w:szCs w:val="28"/>
        </w:rPr>
      </w:pPr>
      <w:r>
        <w:rPr>
          <w:rFonts w:hint="eastAsia" w:ascii="宋体" w:hAnsi="宋体"/>
          <w:bCs/>
          <w:sz w:val="28"/>
          <w:szCs w:val="28"/>
        </w:rPr>
        <w:t>附图1：  耒阳市矿产资源开发利用现状图</w:t>
      </w:r>
      <w:r>
        <w:rPr>
          <w:rFonts w:ascii="宋体" w:hAnsi="宋体"/>
          <w:bCs/>
          <w:sz w:val="28"/>
          <w:szCs w:val="28"/>
        </w:rPr>
        <w:t>(</w:t>
      </w:r>
      <w:r>
        <w:rPr>
          <w:rFonts w:hint="eastAsia" w:eastAsia="仿宋"/>
          <w:sz w:val="30"/>
          <w:szCs w:val="28"/>
        </w:rPr>
        <w:t>20</w:t>
      </w:r>
      <w:r>
        <w:rPr>
          <w:rFonts w:eastAsia="仿宋"/>
          <w:sz w:val="30"/>
          <w:szCs w:val="28"/>
        </w:rPr>
        <w:t>18</w:t>
      </w:r>
      <w:r>
        <w:rPr>
          <w:rFonts w:hint="eastAsia" w:eastAsia="仿宋"/>
          <w:sz w:val="30"/>
          <w:szCs w:val="28"/>
        </w:rPr>
        <w:t>年</w:t>
      </w:r>
      <w:r>
        <w:rPr>
          <w:rFonts w:ascii="宋体" w:hAnsi="宋体"/>
          <w:bCs/>
          <w:sz w:val="28"/>
          <w:szCs w:val="28"/>
        </w:rPr>
        <w:t>)</w:t>
      </w:r>
    </w:p>
    <w:p>
      <w:pPr>
        <w:ind w:left="1120" w:hanging="1120" w:hangingChars="400"/>
        <w:jc w:val="left"/>
        <w:rPr>
          <w:rFonts w:ascii="宋体" w:hAnsi="宋体"/>
          <w:bCs/>
          <w:sz w:val="28"/>
          <w:szCs w:val="28"/>
        </w:rPr>
      </w:pPr>
      <w:r>
        <w:rPr>
          <w:rFonts w:hint="eastAsia" w:ascii="宋体" w:hAnsi="宋体"/>
          <w:bCs/>
          <w:sz w:val="28"/>
          <w:szCs w:val="28"/>
        </w:rPr>
        <w:t>附图2：  耒阳市普通建筑材料用砂石土矿开发利用规划图</w:t>
      </w:r>
      <w:r>
        <w:rPr>
          <w:rFonts w:hint="eastAsia" w:eastAsia="仿宋"/>
          <w:sz w:val="30"/>
          <w:szCs w:val="28"/>
        </w:rPr>
        <w:t>（2019—2025年）</w:t>
      </w:r>
    </w:p>
    <w:p>
      <w:pPr>
        <w:jc w:val="center"/>
        <w:rPr>
          <w:rFonts w:ascii="宋体" w:hAnsi="宋体"/>
          <w:b/>
          <w:bCs/>
          <w:sz w:val="36"/>
          <w:szCs w:val="36"/>
        </w:rPr>
      </w:pPr>
    </w:p>
    <w:p>
      <w:pPr>
        <w:jc w:val="center"/>
        <w:rPr>
          <w:rFonts w:ascii="宋体" w:hAnsi="宋体"/>
          <w:b/>
          <w:bCs/>
          <w:sz w:val="36"/>
          <w:szCs w:val="36"/>
        </w:rPr>
      </w:pPr>
      <w:r>
        <w:rPr>
          <w:rFonts w:hint="eastAsia" w:ascii="宋体" w:hAnsi="宋体"/>
          <w:b/>
          <w:bCs/>
          <w:sz w:val="36"/>
          <w:szCs w:val="36"/>
        </w:rPr>
        <w:t>附  件</w:t>
      </w:r>
    </w:p>
    <w:p>
      <w:pPr>
        <w:ind w:firstLine="560" w:firstLineChars="200"/>
        <w:jc w:val="left"/>
        <w:rPr>
          <w:rFonts w:ascii="宋体" w:hAnsi="宋体"/>
          <w:bCs/>
          <w:sz w:val="28"/>
          <w:szCs w:val="28"/>
        </w:rPr>
      </w:pPr>
      <w:r>
        <w:rPr>
          <w:rFonts w:hint="eastAsia" w:ascii="宋体" w:hAnsi="宋体"/>
          <w:bCs/>
          <w:sz w:val="28"/>
          <w:szCs w:val="28"/>
        </w:rPr>
        <w:t>附件一  专项规划文件、审查意见</w:t>
      </w:r>
    </w:p>
    <w:p>
      <w:pPr>
        <w:ind w:firstLine="560" w:firstLineChars="200"/>
        <w:jc w:val="left"/>
        <w:rPr>
          <w:rFonts w:ascii="宋体" w:hAnsi="宋体"/>
          <w:bCs/>
          <w:sz w:val="28"/>
          <w:szCs w:val="28"/>
        </w:rPr>
      </w:pPr>
      <w:r>
        <w:rPr>
          <w:rFonts w:hint="eastAsia" w:ascii="宋体" w:hAnsi="宋体"/>
          <w:bCs/>
          <w:sz w:val="28"/>
          <w:szCs w:val="28"/>
        </w:rPr>
        <w:t>附件二  矿山地形地质图</w:t>
      </w:r>
    </w:p>
    <w:p>
      <w:pPr>
        <w:spacing w:line="680" w:lineRule="exact"/>
        <w:ind w:firstLine="560" w:firstLineChars="200"/>
        <w:rPr>
          <w:bCs/>
          <w:sz w:val="44"/>
          <w:szCs w:val="44"/>
        </w:rPr>
      </w:pPr>
      <w:r>
        <w:rPr>
          <w:rFonts w:hint="eastAsia" w:ascii="宋体" w:hAnsi="宋体"/>
          <w:bCs/>
          <w:sz w:val="28"/>
          <w:szCs w:val="28"/>
        </w:rPr>
        <w:t>附件三  专项规划说明书、出让合同</w:t>
      </w:r>
    </w:p>
    <w:p>
      <w:pPr>
        <w:spacing w:line="680" w:lineRule="exact"/>
        <w:ind w:firstLine="560" w:firstLineChars="200"/>
        <w:rPr>
          <w:rFonts w:eastAsia="方正小标宋_GBK"/>
          <w:bCs/>
          <w:sz w:val="44"/>
          <w:szCs w:val="44"/>
        </w:rPr>
      </w:pPr>
      <w:r>
        <w:rPr>
          <w:rFonts w:hint="eastAsia" w:ascii="宋体" w:hAnsi="宋体"/>
          <w:bCs/>
          <w:sz w:val="28"/>
          <w:szCs w:val="28"/>
        </w:rPr>
        <w:t>附件四  矿业权信息查询表</w:t>
      </w:r>
    </w:p>
    <w:p>
      <w:pPr>
        <w:spacing w:line="680" w:lineRule="exact"/>
        <w:jc w:val="center"/>
        <w:rPr>
          <w:rFonts w:eastAsia="方正小标宋_GBK"/>
          <w:bCs/>
          <w:sz w:val="44"/>
          <w:szCs w:val="44"/>
        </w:rPr>
      </w:pPr>
    </w:p>
    <w:p>
      <w:pPr>
        <w:pStyle w:val="4"/>
        <w:jc w:val="center"/>
        <w:rPr>
          <w:sz w:val="30"/>
          <w:szCs w:val="30"/>
        </w:rPr>
      </w:pPr>
    </w:p>
    <w:p>
      <w:pPr>
        <w:pStyle w:val="4"/>
        <w:jc w:val="center"/>
        <w:rPr>
          <w:sz w:val="30"/>
          <w:szCs w:val="30"/>
        </w:rPr>
        <w:sectPr>
          <w:footerReference r:id="rId3" w:type="default"/>
          <w:pgSz w:w="11906" w:h="16838"/>
          <w:pgMar w:top="1440" w:right="1800" w:bottom="1440" w:left="1800" w:header="851" w:footer="992" w:gutter="0"/>
          <w:cols w:space="425" w:num="1"/>
          <w:docGrid w:type="lines" w:linePitch="312" w:charSpace="0"/>
        </w:sectPr>
      </w:pPr>
    </w:p>
    <w:p>
      <w:pPr>
        <w:pStyle w:val="4"/>
        <w:jc w:val="center"/>
        <w:rPr>
          <w:sz w:val="30"/>
          <w:szCs w:val="30"/>
        </w:rPr>
      </w:pPr>
      <w:bookmarkStart w:id="0" w:name="_Toc9521"/>
      <w:r>
        <w:rPr>
          <w:rFonts w:hint="eastAsia"/>
          <w:sz w:val="30"/>
          <w:szCs w:val="30"/>
        </w:rPr>
        <w:t>前 言</w:t>
      </w:r>
      <w:bookmarkEnd w:id="0"/>
    </w:p>
    <w:p>
      <w:pPr>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进一步规范普通建筑材料用砂石土矿（不含河道采砂，简称砂石土矿）开发利用，根据湖南省人民政府办公厅《关于印发&lt;湖南省普通建筑材料用砂石土矿专项整治行动方案（2019—2025年）&gt;的通知》（湘政办发〔2019〕54号）等文件要求，由耒阳市人民政府主导、市自然资源局组织，编制《耒阳市普通建筑材料用砂石土矿专项规划（2019—2025）》（以下简称《规划》）。</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规划》主要编制依据为：1.《湖南省普通建筑材料用砂石土矿专项整治行动方案（2019—2021年）》（湘政办发〔2019〕54号）；2.《关于全力推进砂石土矿专项整治有关问题的通知》（湘自然资规〔2019〕6号）；3.《关于印发〈湖南省普通建筑用砂石土矿专项规划（2019-2025年）〉编制技术要求》的通知（湘自然资办发〔2019〕103号；4.《湖南省绿色矿山建设工作方案》（2018年1月湖南六部门联合发布）；5.《衡阳市普通建筑材料用砂石土矿专项整治实施方案》(衡资源规划办发〔2019〕97号）；6.耒阳市人民政府办公室《关于印发“耒阳市普通建筑材料用砂石土矿专项整治实施方案”的通知》（耒政办发〔2020〕11号）；7.《湖南省耒阳市矿产资源总体规划（2016-2020）》（湖南省耒阳市人民政府2015年12月）；8.《湖南省耒阳市普通建筑用砂石粘土矿业权设置方案》（耒阳市国土资源局2014年7月）。</w:t>
      </w:r>
    </w:p>
    <w:p>
      <w:pPr>
        <w:spacing w:line="360" w:lineRule="auto"/>
        <w:ind w:firstLine="560" w:firstLineChars="200"/>
        <w:rPr>
          <w:rFonts w:hint="eastAsia"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《规划》以2018年为</w:t>
      </w:r>
      <w:r>
        <w:rPr>
          <w:rFonts w:hint="eastAsia" w:asciiTheme="minorEastAsia" w:hAnsiTheme="minorEastAsia" w:eastAsiaTheme="minorEastAsia" w:cstheme="minorEastAsia"/>
          <w:sz w:val="28"/>
          <w:szCs w:val="28"/>
          <w:lang w:eastAsia="zh-CN"/>
        </w:rPr>
        <w:t>规划</w:t>
      </w:r>
      <w:r>
        <w:rPr>
          <w:rFonts w:hint="eastAsia" w:asciiTheme="minorEastAsia" w:hAnsiTheme="minorEastAsia" w:eastAsiaTheme="minorEastAsia" w:cstheme="minorEastAsia"/>
          <w:sz w:val="28"/>
          <w:szCs w:val="28"/>
        </w:rPr>
        <w:t>基期，中期目标年为2021年，规划至2025年，展望至2035年。</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《规划》涉及的矿种包括建筑石料用灰岩、建筑用花岗岩、建筑用玄武岩、建筑用白云岩、砖瓦用页岩等普通建筑材料用砂石土矿。</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《规划》适用于耒阳市域范围，是耒阳市落实省人民政府推进砂石土矿专项整治行动的具体安排，是全市进行砂石土矿业权设置的指导性文件。</w:t>
      </w:r>
    </w:p>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br w:type="page"/>
      </w:r>
    </w:p>
    <w:p>
      <w:pPr>
        <w:pStyle w:val="5"/>
        <w:jc w:val="center"/>
        <w:rPr>
          <w:rFonts w:hint="default" w:ascii="黑体" w:hAnsi="黑体" w:eastAsia="黑体" w:cs="黑体"/>
          <w:b w:val="0"/>
          <w:bCs/>
          <w:sz w:val="36"/>
          <w:szCs w:val="36"/>
        </w:rPr>
      </w:pPr>
      <w:bookmarkStart w:id="1" w:name="_Toc11521"/>
      <w:r>
        <w:rPr>
          <w:rFonts w:ascii="黑体" w:hAnsi="黑体" w:eastAsia="黑体" w:cs="黑体"/>
          <w:b w:val="0"/>
          <w:bCs/>
          <w:sz w:val="36"/>
          <w:szCs w:val="36"/>
        </w:rPr>
        <w:t>一、现状与形势</w:t>
      </w:r>
      <w:bookmarkEnd w:id="1"/>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耒阳市位于衡阳市东南部。地处东经112°37′22</w:t>
      </w:r>
      <w:r>
        <w:rPr>
          <w:rFonts w:hint="eastAsia" w:eastAsia="仿宋"/>
          <w:sz w:val="30"/>
          <w:szCs w:val="30"/>
        </w:rPr>
        <w:t>″</w:t>
      </w:r>
      <w:r>
        <w:rPr>
          <w:rFonts w:hint="eastAsia" w:asciiTheme="minorEastAsia" w:hAnsiTheme="minorEastAsia" w:eastAsiaTheme="minorEastAsia" w:cstheme="minorEastAsia"/>
          <w:sz w:val="28"/>
          <w:szCs w:val="28"/>
        </w:rPr>
        <w:t>～113°13′9</w:t>
      </w:r>
      <w:r>
        <w:rPr>
          <w:rFonts w:hint="eastAsia" w:eastAsia="仿宋"/>
          <w:sz w:val="30"/>
          <w:szCs w:val="30"/>
        </w:rPr>
        <w:t>″</w:t>
      </w:r>
      <w:r>
        <w:rPr>
          <w:rFonts w:hint="eastAsia" w:asciiTheme="minorEastAsia" w:hAnsiTheme="minorEastAsia" w:eastAsiaTheme="minorEastAsia" w:cstheme="minorEastAsia"/>
          <w:sz w:val="28"/>
          <w:szCs w:val="28"/>
        </w:rPr>
        <w:t>，北纬26°7′38</w:t>
      </w:r>
      <w:r>
        <w:rPr>
          <w:rFonts w:hint="eastAsia" w:eastAsia="仿宋"/>
          <w:sz w:val="30"/>
          <w:szCs w:val="30"/>
        </w:rPr>
        <w:t>″</w:t>
      </w:r>
      <w:r>
        <w:rPr>
          <w:rFonts w:hint="eastAsia" w:asciiTheme="minorEastAsia" w:hAnsiTheme="minorEastAsia" w:eastAsiaTheme="minorEastAsia" w:cstheme="minorEastAsia"/>
          <w:sz w:val="28"/>
          <w:szCs w:val="28"/>
        </w:rPr>
        <w:t>～26°42′9</w:t>
      </w:r>
      <w:r>
        <w:rPr>
          <w:rFonts w:hint="eastAsia" w:eastAsia="仿宋"/>
          <w:sz w:val="30"/>
          <w:szCs w:val="30"/>
        </w:rPr>
        <w:t>″</w:t>
      </w:r>
      <w:r>
        <w:rPr>
          <w:rFonts w:hint="eastAsia" w:asciiTheme="minorEastAsia" w:hAnsiTheme="minorEastAsia" w:eastAsiaTheme="minorEastAsia" w:cstheme="minorEastAsia"/>
          <w:sz w:val="28"/>
          <w:szCs w:val="28"/>
        </w:rPr>
        <w:t>，全市土地总面积2656平方公里，辖19个镇、5个乡、6个街道办事处，计30个乡镇街道办事处，总人口142.17万。</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耒阳市属低山丘陵区，地势东、南、西南高，北、西北低，境内水系发育，耒水、舂陵江流入湘江。市域耒水过境，西边以舂陵江为界与常宁市隔河相望，京广高速铁路、京广铁路、G107国道、京港澳高速公路纵穿南北，</w:t>
      </w:r>
      <w:r>
        <w:rPr>
          <w:rFonts w:hint="eastAsia" w:asciiTheme="minorEastAsia" w:hAnsiTheme="minorEastAsia" w:eastAsiaTheme="minorEastAsia" w:cstheme="minorEastAsia"/>
          <w:color w:val="FF0000"/>
          <w:sz w:val="28"/>
          <w:szCs w:val="28"/>
        </w:rPr>
        <w:t>国道G356</w:t>
      </w:r>
      <w:r>
        <w:rPr>
          <w:rFonts w:hint="eastAsia" w:asciiTheme="minorEastAsia" w:hAnsiTheme="minorEastAsia" w:eastAsiaTheme="minorEastAsia" w:cstheme="minorEastAsia"/>
          <w:sz w:val="28"/>
          <w:szCs w:val="28"/>
        </w:rPr>
        <w:t>横贯东西，拟建常宁至炎陵高速公路从境内通过，各级公路干线沟通城乡，交通便捷。</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近年来，耒阳市经济社会发展迅速，2018年度实现地区生产总值432.5亿元，三次产业结构比例为11.1:26.6:62.3。市域成矿地质条件优越，矿产资源丰富，已发现的固体矿种有44种，优势矿产有煤、高岭土、大理岩、石灰岩等。全市现有探矿权16个，</w:t>
      </w:r>
      <w:r>
        <w:rPr>
          <w:rFonts w:hint="eastAsia" w:asciiTheme="minorEastAsia" w:hAnsiTheme="minorEastAsia" w:eastAsiaTheme="minorEastAsia" w:cstheme="minorEastAsia"/>
          <w:color w:val="FF0000"/>
          <w:sz w:val="28"/>
          <w:szCs w:val="28"/>
        </w:rPr>
        <w:t>采矿权7</w:t>
      </w:r>
      <w:r>
        <w:rPr>
          <w:rFonts w:hint="eastAsia" w:asciiTheme="minorEastAsia" w:hAnsiTheme="minorEastAsia" w:eastAsiaTheme="minorEastAsia" w:cstheme="minorEastAsia"/>
          <w:color w:val="FF0000"/>
          <w:sz w:val="28"/>
          <w:szCs w:val="28"/>
          <w:lang w:val="en-US" w:eastAsia="zh-CN"/>
        </w:rPr>
        <w:t>3</w:t>
      </w:r>
      <w:r>
        <w:rPr>
          <w:rFonts w:hint="eastAsia" w:asciiTheme="minorEastAsia" w:hAnsiTheme="minorEastAsia" w:eastAsiaTheme="minorEastAsia" w:cstheme="minorEastAsia"/>
          <w:color w:val="FF0000"/>
          <w:sz w:val="28"/>
          <w:szCs w:val="28"/>
        </w:rPr>
        <w:t>个（砂石土矿采矿权45个）</w:t>
      </w:r>
      <w:r>
        <w:rPr>
          <w:rFonts w:hint="eastAsia" w:asciiTheme="minorEastAsia" w:hAnsiTheme="minorEastAsia" w:eastAsiaTheme="minorEastAsia" w:cstheme="minorEastAsia"/>
          <w:sz w:val="28"/>
          <w:szCs w:val="28"/>
        </w:rPr>
        <w:t>，矿产资源开发在全市经济社会发展中发挥了重要基础性作用。</w:t>
      </w:r>
    </w:p>
    <w:p>
      <w:pPr>
        <w:pStyle w:val="5"/>
        <w:ind w:firstLine="562" w:firstLineChars="200"/>
        <w:rPr>
          <w:rFonts w:hint="default"/>
          <w:sz w:val="28"/>
          <w:szCs w:val="28"/>
        </w:rPr>
      </w:pPr>
      <w:bookmarkStart w:id="2" w:name="_Toc32692"/>
      <w:r>
        <w:rPr>
          <w:sz w:val="28"/>
          <w:szCs w:val="28"/>
        </w:rPr>
        <w:t>(一)资源分布及开发现状</w:t>
      </w:r>
      <w:bookmarkEnd w:id="2"/>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1、资源分布</w:t>
      </w:r>
    </w:p>
    <w:p>
      <w:pPr>
        <w:shd w:val="clear" w:color="auto" w:fill="FFFFFF"/>
        <w:spacing w:line="360" w:lineRule="auto"/>
        <w:ind w:firstLine="561"/>
        <w:rPr>
          <w:rFonts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sz w:val="28"/>
          <w:szCs w:val="28"/>
        </w:rPr>
        <w:t>全市砂石土矿资源主要分布于市域西南部和东北部（见图1）、资源丰富。据砂石土矿调查成果和本次实地调查，市域西南部大面积出露灰岩，</w:t>
      </w:r>
      <w:r>
        <w:rPr>
          <w:rFonts w:hint="eastAsia" w:ascii="宋体" w:hAnsi="宋体"/>
          <w:sz w:val="28"/>
          <w:szCs w:val="28"/>
        </w:rPr>
        <w:t>具有建设大中型建筑石料用灰岩矿山的潜力，45个砂石土矿</w:t>
      </w:r>
      <w:r>
        <w:rPr>
          <w:rFonts w:hint="eastAsia" w:ascii="宋体" w:hAnsi="宋体"/>
          <w:color w:val="FF0000"/>
          <w:sz w:val="28"/>
          <w:szCs w:val="28"/>
        </w:rPr>
        <w:t>采矿权</w:t>
      </w:r>
      <w:r>
        <w:rPr>
          <w:rFonts w:hint="eastAsia" w:ascii="宋体" w:hAnsi="宋体"/>
          <w:sz w:val="28"/>
          <w:szCs w:val="28"/>
        </w:rPr>
        <w:t>分布于19个乡镇（办事处），</w:t>
      </w:r>
      <w:r>
        <w:rPr>
          <w:rFonts w:hint="eastAsia" w:asciiTheme="minorEastAsia" w:hAnsiTheme="minorEastAsia" w:eastAsiaTheme="minorEastAsia" w:cstheme="minorEastAsia"/>
          <w:sz w:val="28"/>
          <w:szCs w:val="28"/>
        </w:rPr>
        <w:t>总面积2.3263km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，登记资源储量5163万t。</w:t>
      </w:r>
    </w:p>
    <w:p>
      <w:pPr>
        <w:jc w:val="center"/>
        <w:rPr>
          <w:rFonts w:eastAsiaTheme="minorEastAsia"/>
        </w:rPr>
      </w:pPr>
      <w:r>
        <w:rPr>
          <w:rFonts w:hint="eastAsia" w:eastAsiaTheme="minorEastAsia"/>
        </w:rPr>
        <w:drawing>
          <wp:inline distT="0" distB="0" distL="114300" distR="114300">
            <wp:extent cx="5253355" cy="6579235"/>
            <wp:effectExtent l="0" t="0" r="4445" b="12065"/>
            <wp:docPr id="1" name="图片 1"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1"/>
                    <pic:cNvPicPr>
                      <a:picLocks noChangeAspect="1"/>
                    </pic:cNvPicPr>
                  </pic:nvPicPr>
                  <pic:blipFill>
                    <a:blip r:embed="rId7"/>
                    <a:stretch>
                      <a:fillRect/>
                    </a:stretch>
                  </pic:blipFill>
                  <pic:spPr>
                    <a:xfrm>
                      <a:off x="0" y="0"/>
                      <a:ext cx="5253355" cy="6579235"/>
                    </a:xfrm>
                    <a:prstGeom prst="rect">
                      <a:avLst/>
                    </a:prstGeom>
                  </pic:spPr>
                </pic:pic>
              </a:graphicData>
            </a:graphic>
          </wp:inline>
        </w:drawing>
      </w:r>
    </w:p>
    <w:p>
      <w:pPr>
        <w:pStyle w:val="15"/>
        <w:widowControl/>
        <w:spacing w:line="360" w:lineRule="auto"/>
        <w:jc w:val="center"/>
      </w:pPr>
      <w:r>
        <w:t>图</w:t>
      </w:r>
      <w:r>
        <w:rPr>
          <w:rFonts w:hint="eastAsia"/>
        </w:rPr>
        <w:t>1       耒阳市</w:t>
      </w:r>
      <w:r>
        <w:t>砂石</w:t>
      </w:r>
      <w:r>
        <w:rPr>
          <w:rFonts w:hint="eastAsia"/>
        </w:rPr>
        <w:t>土矿</w:t>
      </w:r>
      <w:r>
        <w:t>资源分布示意图</w:t>
      </w:r>
    </w:p>
    <w:p>
      <w:pPr>
        <w:spacing w:line="480" w:lineRule="auto"/>
        <w:ind w:firstLine="562"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建筑石料用灰岩：</w:t>
      </w:r>
      <w:r>
        <w:rPr>
          <w:rFonts w:hint="eastAsia" w:asciiTheme="minorEastAsia" w:hAnsiTheme="minorEastAsia" w:eastAsiaTheme="minorEastAsia" w:cstheme="minorEastAsia"/>
          <w:sz w:val="28"/>
          <w:szCs w:val="28"/>
        </w:rPr>
        <w:t>产出层位有三叠系下统大冶组、石炭系的中上统壶天群、下统孟公坳组、石磴子组，泥盆系的</w:t>
      </w:r>
      <w:r>
        <w:rPr>
          <w:rFonts w:hint="eastAsia"/>
          <w:sz w:val="28"/>
          <w:szCs w:val="28"/>
        </w:rPr>
        <w:t>上统佘田桥组、</w:t>
      </w:r>
      <w:r>
        <w:rPr>
          <w:rFonts w:hint="eastAsia" w:asciiTheme="minorEastAsia" w:hAnsiTheme="minorEastAsia" w:eastAsiaTheme="minorEastAsia" w:cstheme="minorEastAsia"/>
          <w:sz w:val="28"/>
          <w:szCs w:val="28"/>
        </w:rPr>
        <w:t>中统</w:t>
      </w:r>
      <w:r>
        <w:rPr>
          <w:rFonts w:hint="eastAsia"/>
          <w:sz w:val="28"/>
          <w:szCs w:val="28"/>
        </w:rPr>
        <w:t>棋子桥组</w:t>
      </w:r>
      <w:r>
        <w:rPr>
          <w:rFonts w:hint="eastAsia" w:asciiTheme="minorEastAsia" w:hAnsiTheme="minorEastAsia" w:eastAsiaTheme="minorEastAsia" w:cstheme="minorEastAsia"/>
          <w:sz w:val="28"/>
          <w:szCs w:val="28"/>
        </w:rPr>
        <w:t>。</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主要分布于西南部的公平镇、小水镇、南京镇、哲桥镇、耒阳城区余庆街道办事处、五里牌街道办事处、长坪乡等乡镇，其次分布于东湖圩镇、导子镇、马水镇、三都镇等区域，资源储量大，分布集中。</w:t>
      </w:r>
    </w:p>
    <w:p>
      <w:pPr>
        <w:spacing w:line="360" w:lineRule="auto"/>
        <w:ind w:firstLine="560" w:firstLineChars="200"/>
        <w:rPr>
          <w:sz w:val="28"/>
          <w:szCs w:val="28"/>
        </w:rPr>
      </w:pPr>
      <w:r>
        <w:rPr>
          <w:rFonts w:hint="eastAsia" w:asciiTheme="minorEastAsia" w:hAnsiTheme="minorEastAsia" w:eastAsiaTheme="minorEastAsia" w:cstheme="minorEastAsia"/>
          <w:sz w:val="28"/>
          <w:szCs w:val="28"/>
        </w:rPr>
        <w:t>采矿权30处，为小</w:t>
      </w:r>
      <w:r>
        <w:rPr>
          <w:rFonts w:hint="eastAsia"/>
          <w:sz w:val="28"/>
          <w:szCs w:val="28"/>
        </w:rPr>
        <w:t>型矿山，占用资源储量3269.1万吨。</w:t>
      </w:r>
    </w:p>
    <w:p>
      <w:pPr>
        <w:spacing w:line="360" w:lineRule="auto"/>
        <w:ind w:firstLine="562"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建筑用花岗岩：</w:t>
      </w:r>
      <w:r>
        <w:rPr>
          <w:rFonts w:hint="eastAsia" w:asciiTheme="minorEastAsia" w:hAnsiTheme="minorEastAsia" w:eastAsiaTheme="minorEastAsia" w:cstheme="minorEastAsia"/>
          <w:sz w:val="28"/>
          <w:szCs w:val="28"/>
        </w:rPr>
        <w:t>赋存于东北部五峰仙花岗岩岩体内。采矿权1处，分布于导子镇，为小型矿山。占用资源储量255.7万吨。</w:t>
      </w:r>
    </w:p>
    <w:p>
      <w:pPr>
        <w:widowControl/>
        <w:topLinePunct/>
        <w:ind w:firstLine="562" w:firstLineChars="200"/>
        <w:rPr>
          <w:rFonts w:asciiTheme="minorEastAsia" w:hAnsiTheme="minorEastAsia" w:eastAsiaTheme="minorEastAsia" w:cstheme="minorEastAsia"/>
          <w:sz w:val="28"/>
          <w:szCs w:val="28"/>
          <w:lang w:val="zh-CN"/>
        </w:rPr>
      </w:pPr>
      <w:r>
        <w:rPr>
          <w:rFonts w:hint="eastAsia" w:asciiTheme="minorEastAsia" w:hAnsiTheme="minorEastAsia" w:eastAsiaTheme="minorEastAsia" w:cstheme="minorEastAsia"/>
          <w:b/>
          <w:bCs/>
          <w:sz w:val="28"/>
          <w:szCs w:val="28"/>
        </w:rPr>
        <w:t>建筑用玄武岩：</w:t>
      </w:r>
      <w:r>
        <w:rPr>
          <w:rFonts w:hint="eastAsia" w:asciiTheme="minorEastAsia" w:hAnsiTheme="minorEastAsia" w:eastAsiaTheme="minorEastAsia" w:cstheme="minorEastAsia"/>
          <w:sz w:val="28"/>
          <w:szCs w:val="28"/>
          <w:lang w:val="zh-CN"/>
        </w:rPr>
        <w:t>产于白垩系下统神皇山组内的拉斑玄武岩中，具气孔-杏仁状构造。岩石质地坚硬，抗剪、抗压强度大，稳定性好，新鲜岩石饱和单轴抗压强度60-120Mpa，是优质建筑石料。</w:t>
      </w:r>
      <w:r>
        <w:rPr>
          <w:rFonts w:hint="eastAsia" w:asciiTheme="minorEastAsia" w:hAnsiTheme="minorEastAsia" w:eastAsiaTheme="minorEastAsia" w:cstheme="minorEastAsia"/>
          <w:sz w:val="28"/>
          <w:szCs w:val="28"/>
        </w:rPr>
        <w:t>采矿权3处，均分布于大和圩乡，为小型矿山。占用资源储量143.4万吨。</w:t>
      </w:r>
    </w:p>
    <w:p>
      <w:pPr>
        <w:spacing w:line="360" w:lineRule="auto"/>
        <w:ind w:firstLine="562"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建筑用白云岩：</w:t>
      </w:r>
      <w:r>
        <w:rPr>
          <w:rFonts w:hint="eastAsia" w:asciiTheme="minorEastAsia" w:hAnsiTheme="minorEastAsia" w:eastAsiaTheme="minorEastAsia" w:cstheme="minorEastAsia"/>
          <w:sz w:val="28"/>
          <w:szCs w:val="28"/>
        </w:rPr>
        <w:t>产于</w:t>
      </w:r>
      <w:r>
        <w:rPr>
          <w:rFonts w:hint="eastAsia"/>
          <w:sz w:val="28"/>
          <w:szCs w:val="28"/>
        </w:rPr>
        <w:t>石炭系下统大塘阶石磴子组、</w:t>
      </w:r>
      <w:r>
        <w:rPr>
          <w:rFonts w:hint="eastAsia"/>
          <w:sz w:val="28"/>
          <w:szCs w:val="28"/>
          <w:lang w:val="zh-CN"/>
        </w:rPr>
        <w:t>泥盆系中统棋子桥组</w:t>
      </w:r>
      <w:r>
        <w:rPr>
          <w:rFonts w:hint="eastAsia" w:asciiTheme="minorEastAsia" w:hAnsiTheme="minorEastAsia" w:eastAsiaTheme="minorEastAsia" w:cstheme="minorEastAsia"/>
          <w:sz w:val="28"/>
          <w:szCs w:val="28"/>
        </w:rPr>
        <w:t>，受五峰仙花岗岩体烘烤，开采矿权2处，分布于仁义镇、马水镇，为小型矿山。占用资源储量724.4万吨。</w:t>
      </w:r>
    </w:p>
    <w:p>
      <w:pPr>
        <w:spacing w:line="360" w:lineRule="auto"/>
        <w:ind w:firstLine="562"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b/>
          <w:bCs/>
          <w:sz w:val="28"/>
          <w:szCs w:val="28"/>
        </w:rPr>
        <w:t>砖瓦用页岩：</w:t>
      </w:r>
      <w:r>
        <w:rPr>
          <w:rFonts w:hint="eastAsia" w:asciiTheme="minorEastAsia" w:hAnsiTheme="minorEastAsia" w:eastAsiaTheme="minorEastAsia" w:cstheme="minorEastAsia"/>
          <w:sz w:val="28"/>
          <w:szCs w:val="28"/>
        </w:rPr>
        <w:t>赋存于中部白垩系地层中，产出层位有白垩系下统神皇山组，分布于水东江办事处及东湖圩镇、灶市街道办事处、大市镇、新市镇、夏塘镇，均为小型矿山。</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采矿权9处，均为小型矿山，占用资源储量770.4万吨。</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2、开发利用现状</w:t>
      </w:r>
    </w:p>
    <w:p>
      <w:pPr>
        <w:spacing w:line="360" w:lineRule="auto"/>
        <w:ind w:firstLine="560" w:firstLineChars="200"/>
        <w:rPr>
          <w:rFonts w:ascii="宋体" w:hAnsi="宋体" w:eastAsiaTheme="minorEastAsia"/>
          <w:sz w:val="28"/>
          <w:szCs w:val="28"/>
        </w:rPr>
      </w:pPr>
      <w:r>
        <w:rPr>
          <w:rFonts w:hint="eastAsia" w:ascii="宋体" w:hAnsi="宋体"/>
          <w:sz w:val="28"/>
          <w:szCs w:val="28"/>
        </w:rPr>
        <w:t>截止2018年底，</w:t>
      </w:r>
      <w:r>
        <w:rPr>
          <w:rFonts w:hint="eastAsia" w:asciiTheme="minorEastAsia" w:hAnsiTheme="minorEastAsia" w:eastAsiaTheme="minorEastAsia" w:cstheme="minorEastAsia"/>
          <w:sz w:val="28"/>
          <w:szCs w:val="28"/>
        </w:rPr>
        <w:t>全市共有砂石土矿山45个，</w:t>
      </w:r>
      <w:r>
        <w:rPr>
          <w:rFonts w:hint="eastAsia" w:ascii="宋体" w:hAnsi="宋体"/>
          <w:sz w:val="28"/>
          <w:szCs w:val="28"/>
        </w:rPr>
        <w:t>生产规模均为小型，</w:t>
      </w:r>
      <w:r>
        <w:rPr>
          <w:rFonts w:hint="eastAsia" w:asciiTheme="minorEastAsia" w:hAnsiTheme="minorEastAsia" w:eastAsiaTheme="minorEastAsia" w:cstheme="minorEastAsia"/>
          <w:sz w:val="28"/>
          <w:szCs w:val="28"/>
        </w:rPr>
        <w:t>其中建筑石料用灰岩矿30个、建筑用花岗岩1个、建筑用玄武岩3个、建筑用白云岩2个、砖瓦用页岩矿9个。</w:t>
      </w:r>
      <w:r>
        <w:rPr>
          <w:rFonts w:ascii="宋体" w:hAnsi="宋体"/>
          <w:sz w:val="28"/>
          <w:szCs w:val="28"/>
        </w:rPr>
        <w:t>44</w:t>
      </w:r>
      <w:r>
        <w:rPr>
          <w:rFonts w:hint="eastAsia" w:ascii="宋体" w:hAnsi="宋体"/>
          <w:sz w:val="28"/>
          <w:szCs w:val="28"/>
        </w:rPr>
        <w:t>个矿山为露天开采，1个矿山（耒阳市金顺石材有限公司马水货塘六组石灰岩矿）为地下开采</w:t>
      </w:r>
      <w:r>
        <w:rPr>
          <w:rFonts w:hint="eastAsia" w:ascii="宋体" w:hAnsi="宋体" w:eastAsiaTheme="minorEastAsia"/>
          <w:sz w:val="28"/>
          <w:szCs w:val="28"/>
        </w:rPr>
        <w:t>。</w:t>
      </w:r>
    </w:p>
    <w:p>
      <w:pPr>
        <w:spacing w:line="360" w:lineRule="auto"/>
        <w:ind w:firstLine="560" w:firstLineChars="200"/>
        <w:rPr>
          <w:rFonts w:asciiTheme="minorEastAsia" w:hAnsiTheme="minorEastAsia" w:eastAsiaTheme="minorEastAsia" w:cstheme="minorEastAsia"/>
          <w:sz w:val="28"/>
          <w:szCs w:val="28"/>
        </w:rPr>
      </w:pPr>
      <w:r>
        <w:rPr>
          <w:rFonts w:hint="eastAsia" w:ascii="宋体" w:hAnsi="宋体"/>
          <w:sz w:val="28"/>
          <w:szCs w:val="28"/>
        </w:rPr>
        <w:t>2018年度，全市在产34个，停产11个。34个在产矿山2018年年产</w:t>
      </w:r>
      <w:r>
        <w:rPr>
          <w:rFonts w:hint="eastAsia" w:asciiTheme="minorEastAsia" w:hAnsiTheme="minorEastAsia" w:eastAsiaTheme="minorEastAsia" w:cstheme="minorEastAsia"/>
          <w:sz w:val="28"/>
          <w:szCs w:val="28"/>
        </w:rPr>
        <w:t>建筑用石料灰岩</w:t>
      </w:r>
      <w:r>
        <w:rPr>
          <w:rFonts w:asciiTheme="minorEastAsia" w:hAnsiTheme="minorEastAsia" w:eastAsiaTheme="minorEastAsia" w:cstheme="minorEastAsia"/>
          <w:sz w:val="28"/>
          <w:szCs w:val="28"/>
        </w:rPr>
        <w:t>348</w:t>
      </w:r>
      <w:r>
        <w:rPr>
          <w:rFonts w:hint="eastAsia" w:asciiTheme="minorEastAsia" w:hAnsiTheme="minorEastAsia" w:eastAsiaTheme="minorEastAsia" w:cstheme="minorEastAsia"/>
          <w:sz w:val="28"/>
          <w:szCs w:val="28"/>
        </w:rPr>
        <w:t>.7万吨，建筑用花岗岩60万吨，建筑用玄武岩45万吨，建筑用白云岩40万吨，砖瓦用页岩147.3万吨。2018年设计总产量641万吨，实际年总产约1000万吨，矿业产值3.6亿元。</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3、矿山地质环境</w:t>
      </w:r>
    </w:p>
    <w:p>
      <w:pPr>
        <w:shd w:val="clear" w:color="auto" w:fill="FFFFFF"/>
        <w:spacing w:line="360" w:lineRule="auto"/>
        <w:ind w:firstLine="561"/>
        <w:rPr>
          <w:rFonts w:ascii="宋体" w:hAnsi="宋体"/>
          <w:sz w:val="28"/>
          <w:szCs w:val="28"/>
        </w:rPr>
      </w:pPr>
      <w:r>
        <w:rPr>
          <w:rFonts w:hint="eastAsia" w:ascii="宋体" w:hAnsi="宋体"/>
          <w:sz w:val="28"/>
          <w:szCs w:val="28"/>
        </w:rPr>
        <w:t>耒阳市砂石土矿山主要地质环境问题为矿山地质灾害、占用破坏土地资源两大类。全市砂石土矿山经调查，大多数建筑石料用灰岩矿的生产工艺落后粗放，对生产产生的粉尘等危害没有采取有效控制措施，对周边环境及相邻百姓生活造成影响。大多数矿山地质环境恢复治理资金投入严重不足，部分矿山未采取任何措施，使剥离表土和废石随意堆放，存有滑坡隐患6处；部分矿山没有按照台阶式开采造成高陡边坡，既埋下安全隐患，也增大了矿山地质环境治理的难度，全市有高陡边坡9处，易发生崩塌；全市矿山开发占用破坏土地面积45.58公顷，治理率32%；现仍有历史遗留矿山治理恢复面积26.24公顷。</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4、遗留问题矿山</w:t>
      </w:r>
    </w:p>
    <w:p>
      <w:pPr>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本次遗留问题矿山5个，其中建筑石料用石灰岩及砖瓦用页岩各2个，建筑石料用花岗岩1个。</w:t>
      </w:r>
    </w:p>
    <w:p>
      <w:pPr>
        <w:pStyle w:val="2"/>
        <w:ind w:firstLine="56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bCs w:val="0"/>
          <w:szCs w:val="28"/>
        </w:rPr>
        <w:t>2018年7月-10月，经先后公开挂牌出让耒阳市亮源乡余升村花岗岩矿、耒阳市公平圩镇百里铺页岩砖厂、耒阳市大市乡芭蕉村石灰岩矿、耒阳市小水镇金山页岩砖厂等四个采矿权，耒阳市长坪乡黄龙村石灰岩矿完成出让入市审批，</w:t>
      </w:r>
      <w:r>
        <w:rPr>
          <w:rFonts w:hint="eastAsia" w:asciiTheme="minorEastAsia" w:hAnsiTheme="minorEastAsia" w:eastAsiaTheme="minorEastAsia" w:cstheme="minorEastAsia"/>
          <w:szCs w:val="28"/>
        </w:rPr>
        <w:t>并预交400万竞买保证金，2018年12月3日省自然资源厅下文要求各县市区暂停新设砂石土矿采矿权，明确专项规划未评审不得办理后续相关手续，因此形成上述5个矿的历史遗留问题。同意收回上述矿山采矿权成交确认书、采矿权出让合同，将5个矿山纳入砂石土矿专项规划备选区块予以保留（见附件三）。</w:t>
      </w:r>
    </w:p>
    <w:p>
      <w:pPr>
        <w:pStyle w:val="2"/>
        <w:ind w:firstLine="560" w:firstLineChars="20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5、全省砂石土矿调查评价项目在耒阳市进行了高岭土、碳质页岩两矿种的调查，不属于本次普通建筑材料用砂石土矿矿种范畴。</w:t>
      </w:r>
    </w:p>
    <w:p>
      <w:pPr>
        <w:pStyle w:val="5"/>
        <w:numPr>
          <w:ilvl w:val="0"/>
          <w:numId w:val="1"/>
        </w:numPr>
        <w:ind w:firstLine="562" w:firstLineChars="200"/>
        <w:rPr>
          <w:rFonts w:hint="default"/>
          <w:sz w:val="28"/>
          <w:szCs w:val="28"/>
        </w:rPr>
      </w:pPr>
      <w:bookmarkStart w:id="3" w:name="_Toc32166"/>
      <w:r>
        <w:rPr>
          <w:sz w:val="28"/>
          <w:szCs w:val="28"/>
        </w:rPr>
        <w:t>存在的主要问题</w:t>
      </w:r>
      <w:bookmarkEnd w:id="3"/>
    </w:p>
    <w:p>
      <w:pPr>
        <w:shd w:val="clear" w:color="auto" w:fill="FFFFFF"/>
        <w:spacing w:line="360" w:lineRule="auto"/>
        <w:ind w:firstLine="560" w:firstLineChars="200"/>
        <w:rPr>
          <w:rFonts w:ascii="宋体" w:hAnsi="宋体"/>
          <w:sz w:val="28"/>
          <w:szCs w:val="28"/>
          <w:lang w:val="zh-CN"/>
        </w:rPr>
      </w:pPr>
      <w:r>
        <w:rPr>
          <w:rFonts w:hint="eastAsia" w:ascii="宋体" w:hAnsi="宋体"/>
          <w:sz w:val="28"/>
          <w:szCs w:val="28"/>
        </w:rPr>
        <w:t>1、</w:t>
      </w:r>
      <w:r>
        <w:rPr>
          <w:rFonts w:hint="eastAsia" w:ascii="宋体" w:hAnsi="宋体"/>
          <w:sz w:val="28"/>
          <w:szCs w:val="28"/>
          <w:lang w:val="zh-CN"/>
        </w:rPr>
        <w:t>违法违规生产时有发生</w:t>
      </w:r>
    </w:p>
    <w:p>
      <w:pPr>
        <w:shd w:val="clear" w:color="auto" w:fill="FFFFFF"/>
        <w:spacing w:line="360" w:lineRule="auto"/>
        <w:ind w:firstLine="560" w:firstLineChars="200"/>
        <w:rPr>
          <w:rFonts w:ascii="宋体" w:hAnsi="宋体"/>
          <w:sz w:val="28"/>
          <w:szCs w:val="28"/>
        </w:rPr>
      </w:pPr>
      <w:r>
        <w:rPr>
          <w:rFonts w:hint="eastAsia" w:ascii="宋体" w:hAnsi="宋体"/>
          <w:sz w:val="28"/>
          <w:szCs w:val="28"/>
        </w:rPr>
        <w:t>据对全市辖区采石场矿山和砖厂矿山实地调查，所设采矿权范围小，有11个矿山存在越界开采现象，部分采石场矿山存在超规模开采等</w:t>
      </w:r>
      <w:r>
        <w:rPr>
          <w:rFonts w:hint="eastAsia" w:ascii="宋体" w:hAnsi="宋体"/>
          <w:sz w:val="28"/>
          <w:szCs w:val="28"/>
          <w:lang w:val="zh-CN"/>
        </w:rPr>
        <w:t>违法违规现象</w:t>
      </w:r>
      <w:r>
        <w:rPr>
          <w:rFonts w:hint="eastAsia" w:ascii="宋体" w:hAnsi="宋体"/>
          <w:sz w:val="28"/>
          <w:szCs w:val="28"/>
        </w:rPr>
        <w:t>。</w:t>
      </w:r>
    </w:p>
    <w:p>
      <w:pPr>
        <w:shd w:val="clear" w:color="auto" w:fill="FFFFFF"/>
        <w:spacing w:line="360" w:lineRule="auto"/>
        <w:ind w:firstLine="561"/>
        <w:rPr>
          <w:rFonts w:ascii="宋体" w:hAnsi="宋体"/>
          <w:sz w:val="28"/>
          <w:szCs w:val="28"/>
        </w:rPr>
      </w:pPr>
      <w:r>
        <w:rPr>
          <w:rFonts w:hint="eastAsia" w:ascii="宋体" w:hAnsi="宋体"/>
          <w:sz w:val="28"/>
          <w:szCs w:val="28"/>
        </w:rPr>
        <w:t>2、砂石矿产采矿权“多小散”。</w:t>
      </w:r>
    </w:p>
    <w:p>
      <w:pPr>
        <w:shd w:val="clear" w:color="auto" w:fill="FFFFFF"/>
        <w:spacing w:line="360" w:lineRule="auto"/>
        <w:ind w:firstLine="561"/>
        <w:rPr>
          <w:rFonts w:ascii="宋体" w:hAnsi="宋体"/>
          <w:sz w:val="28"/>
          <w:szCs w:val="28"/>
        </w:rPr>
      </w:pPr>
      <w:r>
        <w:rPr>
          <w:rFonts w:hint="eastAsia" w:ascii="宋体" w:hAnsi="宋体"/>
          <w:sz w:val="28"/>
          <w:szCs w:val="28"/>
        </w:rPr>
        <w:t>砂石矿产采矿权“多小散”。</w:t>
      </w:r>
      <w:r>
        <w:rPr>
          <w:rFonts w:hint="eastAsia" w:ascii="宋体" w:hAnsi="宋体"/>
          <w:sz w:val="28"/>
          <w:szCs w:val="28"/>
          <w:lang w:val="zh-CN"/>
        </w:rPr>
        <w:t>20</w:t>
      </w:r>
      <w:r>
        <w:rPr>
          <w:rFonts w:hint="eastAsia" w:ascii="宋体" w:hAnsi="宋体"/>
          <w:sz w:val="28"/>
          <w:szCs w:val="28"/>
        </w:rPr>
        <w:t>18</w:t>
      </w:r>
      <w:r>
        <w:rPr>
          <w:rFonts w:hint="eastAsia" w:ascii="宋体" w:hAnsi="宋体"/>
          <w:sz w:val="28"/>
          <w:szCs w:val="28"/>
          <w:lang w:val="zh-CN"/>
        </w:rPr>
        <w:t>年末全</w:t>
      </w:r>
      <w:r>
        <w:rPr>
          <w:rFonts w:hint="eastAsia" w:ascii="宋体" w:hAnsi="宋体"/>
          <w:sz w:val="28"/>
          <w:szCs w:val="28"/>
        </w:rPr>
        <w:t>市</w:t>
      </w:r>
      <w:r>
        <w:rPr>
          <w:rFonts w:hint="eastAsia" w:ascii="宋体" w:hAnsi="宋体"/>
          <w:sz w:val="28"/>
          <w:szCs w:val="28"/>
          <w:lang w:val="zh-CN"/>
        </w:rPr>
        <w:t>共有建筑材料用砂石土矿</w:t>
      </w:r>
      <w:r>
        <w:rPr>
          <w:rFonts w:hint="eastAsia" w:ascii="宋体" w:hAnsi="宋体"/>
          <w:sz w:val="28"/>
          <w:szCs w:val="28"/>
        </w:rPr>
        <w:t>45个</w:t>
      </w:r>
      <w:r>
        <w:rPr>
          <w:rFonts w:hint="eastAsia" w:ascii="宋体" w:hAnsi="宋体"/>
          <w:sz w:val="28"/>
          <w:szCs w:val="28"/>
          <w:lang w:val="zh-CN"/>
        </w:rPr>
        <w:t>，</w:t>
      </w:r>
      <w:r>
        <w:rPr>
          <w:rFonts w:hint="eastAsia" w:ascii="宋体" w:hAnsi="宋体"/>
          <w:sz w:val="28"/>
          <w:szCs w:val="28"/>
        </w:rPr>
        <w:t>数量较多；生产规模普遍偏小，</w:t>
      </w:r>
      <w:r>
        <w:rPr>
          <w:rFonts w:hint="eastAsia" w:ascii="宋体" w:hAnsi="宋体"/>
          <w:sz w:val="28"/>
          <w:szCs w:val="28"/>
          <w:lang w:val="zh-CN"/>
        </w:rPr>
        <w:t>均为小型矿山，</w:t>
      </w:r>
      <w:r>
        <w:rPr>
          <w:rFonts w:hint="eastAsia" w:ascii="宋体" w:hAnsi="宋体"/>
          <w:sz w:val="28"/>
          <w:szCs w:val="28"/>
        </w:rPr>
        <w:t>矿山平均面积仅6.37公顷（95亩）；全市45个矿山采矿总量仅为641万吨/年，平均14万吨/个，规模化经营程度低。</w:t>
      </w:r>
    </w:p>
    <w:p>
      <w:pPr>
        <w:shd w:val="clear" w:color="auto" w:fill="FFFFFF"/>
        <w:spacing w:line="360" w:lineRule="auto"/>
        <w:ind w:firstLine="561"/>
        <w:rPr>
          <w:rFonts w:ascii="宋体" w:hAnsi="宋体"/>
          <w:sz w:val="28"/>
          <w:szCs w:val="28"/>
        </w:rPr>
      </w:pPr>
      <w:r>
        <w:rPr>
          <w:rFonts w:hint="eastAsia" w:ascii="宋体" w:hAnsi="宋体"/>
          <w:sz w:val="28"/>
          <w:szCs w:val="28"/>
        </w:rPr>
        <w:t>3、矿区范围划定不合理</w:t>
      </w:r>
    </w:p>
    <w:p>
      <w:pPr>
        <w:shd w:val="clear" w:color="auto" w:fill="FFFFFF"/>
        <w:spacing w:line="360" w:lineRule="auto"/>
        <w:ind w:firstLine="561"/>
        <w:rPr>
          <w:rFonts w:ascii="宋体" w:hAnsi="宋体"/>
          <w:sz w:val="28"/>
          <w:szCs w:val="28"/>
        </w:rPr>
      </w:pPr>
      <w:r>
        <w:rPr>
          <w:rFonts w:hint="eastAsia" w:ascii="宋体" w:hAnsi="宋体"/>
          <w:sz w:val="28"/>
          <w:szCs w:val="28"/>
        </w:rPr>
        <w:t>因山体权属等原因，部分采矿权范围是以山脊为界进行划分，只划定了半边山或直划在了山顶，造成边坡压占的资源储量较大、资源浪费，增加了开采难度。</w:t>
      </w:r>
    </w:p>
    <w:p>
      <w:pPr>
        <w:shd w:val="clear" w:color="auto" w:fill="FFFFFF"/>
        <w:spacing w:line="360" w:lineRule="auto"/>
        <w:ind w:firstLine="561"/>
        <w:rPr>
          <w:rFonts w:ascii="宋体" w:hAnsi="宋体"/>
          <w:sz w:val="28"/>
          <w:szCs w:val="28"/>
        </w:rPr>
      </w:pPr>
      <w:r>
        <w:rPr>
          <w:rFonts w:hint="eastAsia" w:ascii="宋体" w:hAnsi="宋体"/>
          <w:sz w:val="28"/>
          <w:szCs w:val="28"/>
        </w:rPr>
        <w:t>4、矿山生态环境保护意识不强</w:t>
      </w:r>
    </w:p>
    <w:p>
      <w:pPr>
        <w:shd w:val="clear" w:color="auto" w:fill="FFFFFF"/>
        <w:spacing w:line="360" w:lineRule="auto"/>
        <w:ind w:firstLine="561"/>
        <w:rPr>
          <w:rFonts w:ascii="宋体" w:hAnsi="宋体"/>
          <w:sz w:val="28"/>
          <w:szCs w:val="28"/>
          <w:lang w:val="zh-CN"/>
        </w:rPr>
      </w:pPr>
      <w:r>
        <w:rPr>
          <w:rFonts w:hint="eastAsia" w:ascii="宋体" w:hAnsi="宋体"/>
          <w:sz w:val="28"/>
          <w:szCs w:val="28"/>
          <w:lang w:val="zh-CN"/>
        </w:rPr>
        <w:t>近几年来政府加大了矿山开采扬尘治理监管，在城市运输环节的粉尘污染有所降低，但在矿山生产过程中多数采石场对爆破震动、粉尘等危害没有采取有效措施，给周边环境和居民生活造成不良影响；此外，历史遗留矿山地质环境恢复治理工作进展缓慢，生产矿山大多没有开展地质环境治理恢复工作。</w:t>
      </w:r>
    </w:p>
    <w:p>
      <w:pPr>
        <w:shd w:val="clear" w:color="auto" w:fill="FFFFFF"/>
        <w:spacing w:line="360" w:lineRule="auto"/>
        <w:ind w:firstLine="561"/>
        <w:rPr>
          <w:rFonts w:ascii="宋体" w:hAnsi="宋体"/>
          <w:sz w:val="28"/>
          <w:szCs w:val="28"/>
        </w:rPr>
      </w:pPr>
      <w:r>
        <w:rPr>
          <w:rFonts w:hint="eastAsia" w:ascii="宋体" w:hAnsi="宋体"/>
          <w:sz w:val="28"/>
          <w:szCs w:val="28"/>
        </w:rPr>
        <w:t>5、矿山安全生产水平有待提高</w:t>
      </w:r>
    </w:p>
    <w:p>
      <w:pPr>
        <w:shd w:val="clear" w:color="auto" w:fill="FFFFFF"/>
        <w:spacing w:line="360" w:lineRule="auto"/>
        <w:ind w:firstLine="561"/>
        <w:rPr>
          <w:rFonts w:ascii="宋体" w:hAnsi="宋体"/>
          <w:sz w:val="28"/>
          <w:szCs w:val="28"/>
        </w:rPr>
      </w:pPr>
      <w:r>
        <w:rPr>
          <w:rFonts w:hint="eastAsia" w:ascii="宋体" w:hAnsi="宋体"/>
          <w:sz w:val="28"/>
          <w:szCs w:val="28"/>
        </w:rPr>
        <w:t>开采过程中存在不分层的“一面墙”开采方式，开采台阶过高，坡度较陡等不按开采设计开采的行为，形成高陡边坡，易引发崩塌、滑坡、危岩等地质灾害,存在较大安全隐患，同时也加大了地质环境治理恢复的难度。</w:t>
      </w:r>
    </w:p>
    <w:p>
      <w:pPr>
        <w:pStyle w:val="5"/>
        <w:ind w:firstLine="562" w:firstLineChars="200"/>
        <w:rPr>
          <w:rFonts w:hint="default"/>
          <w:sz w:val="28"/>
          <w:szCs w:val="28"/>
        </w:rPr>
      </w:pPr>
      <w:bookmarkStart w:id="4" w:name="_Toc17508"/>
      <w:r>
        <w:rPr>
          <w:sz w:val="28"/>
          <w:szCs w:val="28"/>
        </w:rPr>
        <w:t>(三)形势与要求</w:t>
      </w:r>
      <w:bookmarkEnd w:id="4"/>
    </w:p>
    <w:p>
      <w:pPr>
        <w:shd w:val="clear" w:color="auto" w:fill="FFFFFF"/>
        <w:spacing w:line="360" w:lineRule="auto"/>
        <w:ind w:firstLine="561"/>
        <w:rPr>
          <w:rFonts w:ascii="宋体" w:hAnsi="宋体"/>
          <w:sz w:val="28"/>
          <w:szCs w:val="28"/>
        </w:rPr>
      </w:pPr>
      <w:r>
        <w:rPr>
          <w:rFonts w:hint="eastAsia" w:ascii="宋体" w:hAnsi="宋体"/>
          <w:sz w:val="28"/>
          <w:szCs w:val="28"/>
        </w:rPr>
        <w:t>1、经济社会发展对砂石土资源需求呈较快增长态势，全市矿产资源供给压力较大。</w:t>
      </w:r>
    </w:p>
    <w:p>
      <w:pPr>
        <w:spacing w:line="360" w:lineRule="auto"/>
        <w:ind w:left="210" w:leftChars="100" w:firstLine="560" w:firstLineChars="20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根据</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耒阳市开发与管理情况调查统计表</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见附件</w:t>
      </w:r>
      <w:r>
        <w:rPr>
          <w:rFonts w:asciiTheme="minorEastAsia" w:hAnsiTheme="minorEastAsia" w:eastAsiaTheme="minorEastAsia" w:cstheme="minorEastAsia"/>
          <w:sz w:val="28"/>
          <w:szCs w:val="28"/>
        </w:rPr>
        <w:t>），</w:t>
      </w:r>
      <w:r>
        <w:rPr>
          <w:rFonts w:hint="eastAsia" w:ascii="宋体" w:hAnsi="宋体"/>
          <w:sz w:val="28"/>
          <w:szCs w:val="28"/>
        </w:rPr>
        <w:t>2018年度耒阳市砂石土矿消费</w:t>
      </w:r>
      <w:r>
        <w:rPr>
          <w:rFonts w:hint="eastAsia" w:ascii="宋体" w:hAnsi="宋体"/>
          <w:b/>
          <w:sz w:val="28"/>
          <w:szCs w:val="28"/>
        </w:rPr>
        <w:t>量</w:t>
      </w:r>
      <w:r>
        <w:rPr>
          <w:rFonts w:hint="eastAsia" w:asciiTheme="minorEastAsia" w:hAnsiTheme="minorEastAsia" w:eastAsiaTheme="minorEastAsia" w:cstheme="minorEastAsia"/>
          <w:b/>
          <w:sz w:val="28"/>
          <w:szCs w:val="28"/>
        </w:rPr>
        <w:t>15</w:t>
      </w:r>
      <w:r>
        <w:rPr>
          <w:rFonts w:hint="eastAsia" w:asciiTheme="minorEastAsia" w:hAnsiTheme="minorEastAsia" w:eastAsiaTheme="minorEastAsia" w:cstheme="minorEastAsia"/>
          <w:sz w:val="28"/>
          <w:szCs w:val="28"/>
        </w:rPr>
        <w:t>00</w:t>
      </w:r>
      <w:r>
        <w:rPr>
          <w:rFonts w:hint="eastAsia" w:ascii="宋体" w:hAnsi="宋体"/>
          <w:sz w:val="28"/>
          <w:szCs w:val="28"/>
        </w:rPr>
        <w:t>万吨，开采砂石土矿</w:t>
      </w:r>
      <w:r>
        <w:rPr>
          <w:rFonts w:hint="eastAsia" w:asciiTheme="minorEastAsia" w:hAnsiTheme="minorEastAsia" w:cstheme="minorEastAsia"/>
          <w:sz w:val="28"/>
          <w:szCs w:val="28"/>
        </w:rPr>
        <w:t>1000</w:t>
      </w:r>
      <w:r>
        <w:rPr>
          <w:rFonts w:hint="eastAsia" w:ascii="宋体" w:hAnsi="宋体"/>
          <w:sz w:val="28"/>
          <w:szCs w:val="28"/>
        </w:rPr>
        <w:t>万吨，砂石土矿资源供不应求。</w:t>
      </w:r>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(1)重点建设工程</w:t>
      </w:r>
    </w:p>
    <w:p>
      <w:pPr>
        <w:pStyle w:val="2"/>
        <w:ind w:firstLine="560" w:firstLineChars="200"/>
      </w:pPr>
      <w:r>
        <w:rPr>
          <w:rFonts w:hint="eastAsia" w:asciiTheme="minorEastAsia" w:hAnsiTheme="minorEastAsia" w:eastAsiaTheme="minorEastAsia" w:cstheme="minorEastAsia"/>
          <w:szCs w:val="28"/>
        </w:rPr>
        <w:t>在2020年2025年，耒阳市基础交通重点工程建设有三项，一是常宁至炎陵的耒阳段高速公路建设被列为湖南省重点项目；二是107国道改线（耒阳城区段）建设被列为耒阳市重点项目；三是加强县域主要交通运输主干线省道余庆至长坪的S567公路改造建设，提升道路通行效率和服务水平。</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(2)资源供需分析</w:t>
      </w:r>
    </w:p>
    <w:p>
      <w:pPr>
        <w:spacing w:line="360" w:lineRule="auto"/>
        <w:ind w:firstLine="560" w:firstLineChars="200"/>
        <w:rPr>
          <w:rFonts w:asciiTheme="minorEastAsia" w:hAnsiTheme="minorEastAsia" w:cstheme="minorEastAsia"/>
          <w:sz w:val="28"/>
          <w:szCs w:val="28"/>
        </w:rPr>
      </w:pPr>
      <w:r>
        <w:rPr>
          <w:rFonts w:hint="eastAsia" w:asciiTheme="minorEastAsia" w:hAnsiTheme="minorEastAsia" w:eastAsiaTheme="minorEastAsia" w:cstheme="minorEastAsia"/>
          <w:sz w:val="28"/>
          <w:szCs w:val="28"/>
        </w:rPr>
        <w:t>根据</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耒阳市开发与管理情况调查统计表</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见附件</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2018年砂石土矿消费量1500</w:t>
      </w:r>
      <w:r>
        <w:rPr>
          <w:rFonts w:hint="eastAsia" w:asciiTheme="minorEastAsia" w:hAnsiTheme="minorEastAsia" w:cstheme="minorEastAsia"/>
          <w:sz w:val="28"/>
          <w:szCs w:val="28"/>
        </w:rPr>
        <w:t>万吨，其中本地供应为1000万吨</w:t>
      </w:r>
      <w:r>
        <w:rPr>
          <w:rFonts w:hint="eastAsia" w:ascii="宋体" w:hAnsi="宋体"/>
          <w:sz w:val="28"/>
          <w:szCs w:val="28"/>
        </w:rPr>
        <w:t>（见表1-1）</w:t>
      </w:r>
      <w:r>
        <w:rPr>
          <w:rFonts w:hint="eastAsia" w:asciiTheme="minorEastAsia" w:hAnsiTheme="minorEastAsia" w:cstheme="minorEastAsia"/>
          <w:sz w:val="28"/>
          <w:szCs w:val="28"/>
        </w:rPr>
        <w:t>，区外供应500万吨；</w:t>
      </w:r>
      <w:r>
        <w:rPr>
          <w:rFonts w:hint="eastAsia" w:asciiTheme="minorEastAsia" w:hAnsiTheme="minorEastAsia" w:eastAsiaTheme="minorEastAsia" w:cstheme="minorEastAsia"/>
          <w:sz w:val="28"/>
          <w:szCs w:val="28"/>
        </w:rPr>
        <w:t xml:space="preserve"> 2021年砂石土矿预测消费量2200</w:t>
      </w:r>
      <w:r>
        <w:rPr>
          <w:rFonts w:hint="eastAsia" w:asciiTheme="minorEastAsia" w:hAnsiTheme="minorEastAsia" w:cstheme="minorEastAsia"/>
          <w:sz w:val="28"/>
          <w:szCs w:val="28"/>
        </w:rPr>
        <w:t>万吨</w:t>
      </w:r>
      <w:r>
        <w:rPr>
          <w:rFonts w:hint="eastAsia" w:ascii="宋体" w:hAnsi="宋体"/>
          <w:sz w:val="28"/>
          <w:szCs w:val="28"/>
        </w:rPr>
        <w:t>，本次矿规设计生产能力1530万吨，缺口仍有670万吨，2022年后需加大扩产扩能力度，以达供需平衡。规划期内全市对建筑石料用灰岩等建材矿产需求量将有大的增长。</w:t>
      </w:r>
    </w:p>
    <w:p>
      <w:pPr>
        <w:ind w:firstLine="301" w:firstLineChars="100"/>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pacing w:val="30"/>
          <w:sz w:val="24"/>
        </w:rPr>
        <w:t>表</w:t>
      </w:r>
      <w:r>
        <w:rPr>
          <w:rFonts w:hint="eastAsia" w:asciiTheme="minorEastAsia" w:hAnsiTheme="minorEastAsia" w:eastAsiaTheme="minorEastAsia" w:cstheme="minorEastAsia"/>
          <w:b/>
          <w:bCs/>
          <w:sz w:val="24"/>
        </w:rPr>
        <w:t>1-1            2019-2020年耒阳市砂石需求量预测</w:t>
      </w:r>
    </w:p>
    <w:tbl>
      <w:tblPr>
        <w:tblStyle w:val="17"/>
        <w:tblW w:w="8391" w:type="dxa"/>
        <w:tblInd w:w="0" w:type="dxa"/>
        <w:tblLayout w:type="fixed"/>
        <w:tblCellMar>
          <w:top w:w="0" w:type="dxa"/>
          <w:left w:w="0" w:type="dxa"/>
          <w:bottom w:w="0" w:type="dxa"/>
          <w:right w:w="0" w:type="dxa"/>
        </w:tblCellMar>
      </w:tblPr>
      <w:tblGrid>
        <w:gridCol w:w="1390"/>
        <w:gridCol w:w="1501"/>
        <w:gridCol w:w="1389"/>
        <w:gridCol w:w="1335"/>
        <w:gridCol w:w="1345"/>
        <w:gridCol w:w="1431"/>
      </w:tblGrid>
      <w:tr>
        <w:tblPrEx>
          <w:tblCellMar>
            <w:top w:w="0" w:type="dxa"/>
            <w:left w:w="0" w:type="dxa"/>
            <w:bottom w:w="0" w:type="dxa"/>
            <w:right w:w="0" w:type="dxa"/>
          </w:tblCellMar>
        </w:tblPrEx>
        <w:trPr>
          <w:trHeight w:val="587" w:hRule="exact"/>
        </w:trPr>
        <w:tc>
          <w:tcPr>
            <w:tcW w:w="1390" w:type="dxa"/>
            <w:tcBorders>
              <w:top w:val="single" w:color="auto" w:sz="4" w:space="0"/>
              <w:left w:val="single" w:color="auto" w:sz="4" w:space="0"/>
              <w:bottom w:val="nil"/>
              <w:right w:val="nil"/>
              <w:tl2br w:val="nil"/>
              <w:tr2bl w:val="nil"/>
            </w:tcBorders>
            <w:shd w:val="clear" w:color="auto" w:fill="FFFFFF"/>
            <w:vAlign w:val="center"/>
          </w:tcPr>
          <w:p>
            <w:pPr>
              <w:spacing w:line="230" w:lineRule="exact"/>
              <w:jc w:val="center"/>
              <w:rPr>
                <w:rFonts w:ascii="宋体" w:hAnsi="宋体"/>
                <w:sz w:val="23"/>
              </w:rPr>
            </w:pPr>
            <w:r>
              <w:rPr>
                <w:rFonts w:hint="eastAsia" w:ascii="宋体" w:hAnsi="宋体"/>
                <w:sz w:val="23"/>
              </w:rPr>
              <w:t>市场供需</w:t>
            </w:r>
          </w:p>
        </w:tc>
        <w:tc>
          <w:tcPr>
            <w:tcW w:w="2890" w:type="dxa"/>
            <w:gridSpan w:val="2"/>
            <w:tcBorders>
              <w:top w:val="single" w:color="auto" w:sz="4" w:space="0"/>
              <w:left w:val="single" w:color="auto" w:sz="4" w:space="0"/>
              <w:bottom w:val="nil"/>
              <w:right w:val="nil"/>
              <w:tl2br w:val="nil"/>
              <w:tr2bl w:val="nil"/>
            </w:tcBorders>
            <w:shd w:val="clear" w:color="auto" w:fill="FFFFFF"/>
            <w:vAlign w:val="center"/>
          </w:tcPr>
          <w:p>
            <w:pPr>
              <w:spacing w:line="360" w:lineRule="exact"/>
              <w:jc w:val="center"/>
              <w:rPr>
                <w:sz w:val="24"/>
              </w:rPr>
            </w:pPr>
            <w:r>
              <w:rPr>
                <w:rFonts w:hint="eastAsia" w:ascii="宋体" w:hAnsi="宋体"/>
                <w:sz w:val="23"/>
              </w:rPr>
              <w:t>2018</w:t>
            </w:r>
          </w:p>
        </w:tc>
        <w:tc>
          <w:tcPr>
            <w:tcW w:w="2680" w:type="dxa"/>
            <w:gridSpan w:val="2"/>
            <w:tcBorders>
              <w:top w:val="single" w:color="auto" w:sz="4" w:space="0"/>
              <w:left w:val="single" w:color="auto" w:sz="4" w:space="0"/>
              <w:bottom w:val="nil"/>
              <w:right w:val="nil"/>
              <w:tl2br w:val="nil"/>
              <w:tr2bl w:val="nil"/>
            </w:tcBorders>
            <w:shd w:val="clear" w:color="auto" w:fill="FFFFFF"/>
            <w:vAlign w:val="center"/>
          </w:tcPr>
          <w:p>
            <w:pPr>
              <w:jc w:val="center"/>
              <w:rPr>
                <w:sz w:val="24"/>
              </w:rPr>
            </w:pPr>
            <w:r>
              <w:rPr>
                <w:rFonts w:hint="eastAsia" w:ascii="宋体" w:hAnsi="宋体"/>
                <w:sz w:val="23"/>
              </w:rPr>
              <w:t>2021</w:t>
            </w:r>
            <w:r>
              <w:rPr>
                <w:rFonts w:hint="eastAsia" w:ascii="MingLiU" w:hAnsi="MingLiU" w:eastAsia="MingLiU"/>
                <w:spacing w:val="20"/>
              </w:rPr>
              <w:t>年</w:t>
            </w:r>
          </w:p>
        </w:tc>
        <w:tc>
          <w:tcPr>
            <w:tcW w:w="1431" w:type="dxa"/>
            <w:tcBorders>
              <w:top w:val="single" w:color="auto" w:sz="4" w:space="0"/>
              <w:left w:val="single" w:color="auto" w:sz="4" w:space="0"/>
              <w:bottom w:val="nil"/>
              <w:right w:val="single" w:color="auto" w:sz="4" w:space="0"/>
              <w:tl2br w:val="nil"/>
              <w:tr2bl w:val="nil"/>
            </w:tcBorders>
            <w:shd w:val="clear" w:color="auto" w:fill="FFFFFF"/>
            <w:vAlign w:val="center"/>
          </w:tcPr>
          <w:p>
            <w:pPr>
              <w:spacing w:line="360" w:lineRule="exact"/>
              <w:jc w:val="center"/>
              <w:rPr>
                <w:sz w:val="24"/>
              </w:rPr>
            </w:pPr>
            <w:r>
              <w:rPr>
                <w:rFonts w:hint="eastAsia"/>
                <w:sz w:val="24"/>
              </w:rPr>
              <w:t>备注</w:t>
            </w:r>
          </w:p>
        </w:tc>
      </w:tr>
      <w:tr>
        <w:tblPrEx>
          <w:tblCellMar>
            <w:top w:w="0" w:type="dxa"/>
            <w:left w:w="0" w:type="dxa"/>
            <w:bottom w:w="0" w:type="dxa"/>
            <w:right w:w="0" w:type="dxa"/>
          </w:tblCellMar>
        </w:tblPrEx>
        <w:trPr>
          <w:trHeight w:val="736" w:hRule="exact"/>
        </w:trPr>
        <w:tc>
          <w:tcPr>
            <w:tcW w:w="1390" w:type="dxa"/>
            <w:vMerge w:val="restart"/>
            <w:tcBorders>
              <w:top w:val="single" w:color="auto" w:sz="4" w:space="0"/>
              <w:left w:val="single" w:color="auto" w:sz="4" w:space="0"/>
              <w:right w:val="nil"/>
              <w:tl2br w:val="nil"/>
              <w:tr2bl w:val="nil"/>
            </w:tcBorders>
            <w:shd w:val="clear" w:color="auto" w:fill="FFFFFF"/>
            <w:vAlign w:val="center"/>
          </w:tcPr>
          <w:p>
            <w:pPr>
              <w:spacing w:line="360" w:lineRule="exact"/>
              <w:jc w:val="center"/>
              <w:rPr>
                <w:rFonts w:ascii="Angsana New" w:hAnsi="Angsana New"/>
                <w:b/>
                <w:sz w:val="36"/>
              </w:rPr>
            </w:pPr>
            <w:r>
              <w:rPr>
                <w:rFonts w:hint="eastAsia" w:ascii="宋体" w:hAnsi="宋体"/>
                <w:sz w:val="23"/>
              </w:rPr>
              <w:t>砂石土矿</w:t>
            </w:r>
          </w:p>
        </w:tc>
        <w:tc>
          <w:tcPr>
            <w:tcW w:w="150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exact"/>
              <w:jc w:val="center"/>
              <w:rPr>
                <w:rFonts w:ascii="MingLiU" w:hAnsi="MingLiU" w:eastAsia="MingLiU"/>
                <w:spacing w:val="20"/>
              </w:rPr>
            </w:pPr>
            <w:r>
              <w:rPr>
                <w:rFonts w:hint="eastAsia" w:ascii="MingLiU" w:hAnsi="MingLiU" w:eastAsia="MingLiU"/>
                <w:spacing w:val="20"/>
              </w:rPr>
              <w:t>实际消费量</w:t>
            </w:r>
          </w:p>
        </w:tc>
        <w:tc>
          <w:tcPr>
            <w:tcW w:w="1389"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exact"/>
              <w:jc w:val="center"/>
              <w:rPr>
                <w:rFonts w:ascii="MingLiU" w:hAnsi="MingLiU" w:eastAsia="MingLiU"/>
                <w:spacing w:val="20"/>
              </w:rPr>
            </w:pPr>
            <w:r>
              <w:rPr>
                <w:rFonts w:hint="eastAsia" w:ascii="MingLiU" w:hAnsi="MingLiU" w:eastAsia="MingLiU"/>
                <w:spacing w:val="20"/>
              </w:rPr>
              <w:t>实际供应量</w:t>
            </w:r>
          </w:p>
        </w:tc>
        <w:tc>
          <w:tcPr>
            <w:tcW w:w="1335"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360" w:lineRule="exact"/>
              <w:jc w:val="center"/>
              <w:rPr>
                <w:rFonts w:ascii="Angsana New" w:hAnsi="Angsana New" w:eastAsia="Angsana New"/>
                <w:b/>
                <w:sz w:val="36"/>
              </w:rPr>
            </w:pPr>
            <w:r>
              <w:rPr>
                <w:rFonts w:hint="eastAsia" w:ascii="MingLiU" w:hAnsi="MingLiU" w:eastAsia="MingLiU"/>
                <w:spacing w:val="20"/>
              </w:rPr>
              <w:t>预测消费量</w:t>
            </w:r>
          </w:p>
        </w:tc>
        <w:tc>
          <w:tcPr>
            <w:tcW w:w="1345" w:type="dxa"/>
            <w:tcBorders>
              <w:top w:val="single" w:color="auto" w:sz="4" w:space="0"/>
              <w:left w:val="single" w:color="auto" w:sz="4" w:space="0"/>
              <w:bottom w:val="single" w:color="auto" w:sz="4" w:space="0"/>
              <w:right w:val="nil"/>
              <w:tl2br w:val="nil"/>
              <w:tr2bl w:val="nil"/>
            </w:tcBorders>
            <w:shd w:val="clear" w:color="auto" w:fill="FFFFFF"/>
            <w:vAlign w:val="center"/>
          </w:tcPr>
          <w:p>
            <w:pPr>
              <w:spacing w:line="360" w:lineRule="exact"/>
              <w:jc w:val="center"/>
              <w:rPr>
                <w:rFonts w:ascii="Angsana New" w:hAnsi="Angsana New" w:eastAsia="Angsana New"/>
                <w:b/>
                <w:sz w:val="36"/>
              </w:rPr>
            </w:pPr>
            <w:r>
              <w:rPr>
                <w:rFonts w:hint="eastAsia" w:ascii="MingLiU" w:hAnsi="MingLiU" w:eastAsia="MingLiU"/>
                <w:spacing w:val="20"/>
              </w:rPr>
              <w:t>预测供应量</w:t>
            </w:r>
          </w:p>
        </w:tc>
        <w:tc>
          <w:tcPr>
            <w:tcW w:w="1431" w:type="dxa"/>
            <w:tcBorders>
              <w:top w:val="single" w:color="auto" w:sz="4" w:space="0"/>
              <w:left w:val="single" w:color="auto" w:sz="4" w:space="0"/>
              <w:bottom w:val="single" w:color="auto" w:sz="4" w:space="0"/>
              <w:right w:val="single" w:color="auto" w:sz="4" w:space="0"/>
              <w:tl2br w:val="nil"/>
              <w:tr2bl w:val="nil"/>
            </w:tcBorders>
            <w:shd w:val="clear" w:color="auto" w:fill="FFFFFF"/>
            <w:vAlign w:val="center"/>
          </w:tcPr>
          <w:p>
            <w:pPr>
              <w:spacing w:line="230" w:lineRule="exact"/>
              <w:jc w:val="center"/>
              <w:rPr>
                <w:sz w:val="24"/>
              </w:rPr>
            </w:pPr>
          </w:p>
        </w:tc>
      </w:tr>
      <w:tr>
        <w:tblPrEx>
          <w:tblCellMar>
            <w:top w:w="0" w:type="dxa"/>
            <w:left w:w="0" w:type="dxa"/>
            <w:bottom w:w="0" w:type="dxa"/>
            <w:right w:w="0" w:type="dxa"/>
          </w:tblCellMar>
        </w:tblPrEx>
        <w:trPr>
          <w:trHeight w:val="953" w:hRule="exact"/>
        </w:trPr>
        <w:tc>
          <w:tcPr>
            <w:tcW w:w="1390" w:type="dxa"/>
            <w:vMerge w:val="continue"/>
            <w:tcBorders>
              <w:left w:val="single" w:color="auto" w:sz="4" w:space="0"/>
              <w:bottom w:val="single" w:color="auto" w:sz="4" w:space="0"/>
              <w:right w:val="nil"/>
            </w:tcBorders>
            <w:shd w:val="clear" w:color="auto" w:fill="FFFFFF"/>
          </w:tcPr>
          <w:p>
            <w:pPr>
              <w:spacing w:line="230" w:lineRule="exact"/>
              <w:jc w:val="left"/>
              <w:rPr>
                <w:rFonts w:ascii="宋体" w:hAnsi="宋体"/>
                <w:sz w:val="23"/>
              </w:rPr>
            </w:pPr>
          </w:p>
        </w:tc>
        <w:tc>
          <w:tcPr>
            <w:tcW w:w="150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30" w:lineRule="exact"/>
              <w:jc w:val="center"/>
              <w:rPr>
                <w:sz w:val="24"/>
              </w:rPr>
            </w:pPr>
            <w:r>
              <w:rPr>
                <w:rFonts w:hint="eastAsia"/>
                <w:sz w:val="24"/>
              </w:rPr>
              <w:t>1500</w:t>
            </w:r>
          </w:p>
        </w:tc>
        <w:tc>
          <w:tcPr>
            <w:tcW w:w="1389"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30" w:lineRule="exact"/>
              <w:jc w:val="center"/>
              <w:rPr>
                <w:sz w:val="24"/>
              </w:rPr>
            </w:pPr>
            <w:r>
              <w:rPr>
                <w:rFonts w:hint="eastAsia"/>
                <w:sz w:val="24"/>
              </w:rPr>
              <w:t>1000</w:t>
            </w:r>
          </w:p>
        </w:tc>
        <w:tc>
          <w:tcPr>
            <w:tcW w:w="133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30" w:lineRule="exact"/>
              <w:jc w:val="center"/>
              <w:rPr>
                <w:sz w:val="24"/>
              </w:rPr>
            </w:pPr>
            <w:r>
              <w:rPr>
                <w:rFonts w:hint="eastAsia"/>
                <w:sz w:val="24"/>
              </w:rPr>
              <w:t>2200</w:t>
            </w:r>
          </w:p>
        </w:tc>
        <w:tc>
          <w:tcPr>
            <w:tcW w:w="1345"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30" w:lineRule="exact"/>
              <w:jc w:val="center"/>
              <w:rPr>
                <w:sz w:val="24"/>
              </w:rPr>
            </w:pPr>
            <w:r>
              <w:rPr>
                <w:rFonts w:hint="eastAsia"/>
                <w:sz w:val="24"/>
              </w:rPr>
              <w:t>1200</w:t>
            </w:r>
          </w:p>
        </w:tc>
        <w:tc>
          <w:tcPr>
            <w:tcW w:w="1431" w:type="dxa"/>
            <w:tcBorders>
              <w:top w:val="single" w:color="auto" w:sz="4" w:space="0"/>
              <w:left w:val="single" w:color="auto" w:sz="4" w:space="0"/>
              <w:bottom w:val="single" w:color="auto" w:sz="4" w:space="0"/>
              <w:right w:val="single" w:color="auto" w:sz="4" w:space="0"/>
            </w:tcBorders>
            <w:shd w:val="clear" w:color="auto" w:fill="FFFFFF"/>
            <w:vAlign w:val="center"/>
          </w:tcPr>
          <w:p>
            <w:pPr>
              <w:spacing w:line="230" w:lineRule="exact"/>
              <w:jc w:val="center"/>
              <w:rPr>
                <w:sz w:val="24"/>
              </w:rPr>
            </w:pPr>
            <w:r>
              <w:rPr>
                <w:rFonts w:hint="eastAsia"/>
                <w:sz w:val="24"/>
              </w:rPr>
              <w:t>2021年规划产能1530万吨</w:t>
            </w:r>
          </w:p>
        </w:tc>
      </w:tr>
    </w:tbl>
    <w:p>
      <w:pPr>
        <w:spacing w:line="360" w:lineRule="auto"/>
        <w:rPr>
          <w:rFonts w:asciiTheme="minorEastAsia" w:hAnsiTheme="minorEastAsia" w:eastAsiaTheme="minorEastAsia" w:cstheme="minorEastAsia"/>
          <w:b/>
          <w:bCs/>
          <w:sz w:val="18"/>
          <w:szCs w:val="18"/>
        </w:rPr>
      </w:pPr>
      <w:r>
        <w:rPr>
          <w:rFonts w:hint="eastAsia" w:asciiTheme="minorEastAsia" w:hAnsiTheme="minorEastAsia" w:eastAsiaTheme="minorEastAsia" w:cstheme="minorEastAsia"/>
          <w:b/>
          <w:bCs/>
          <w:sz w:val="18"/>
          <w:szCs w:val="18"/>
        </w:rPr>
        <w:t>备注：数据来源于附件《耒阳市砂石土矿开发与管理情况调查统计表》</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从上分析耒阳市2021年砂石土矿</w:t>
      </w:r>
      <w:r>
        <w:rPr>
          <w:rFonts w:hint="eastAsia" w:asciiTheme="minorEastAsia" w:hAnsiTheme="minorEastAsia" w:cstheme="minorEastAsia"/>
          <w:sz w:val="28"/>
          <w:szCs w:val="28"/>
        </w:rPr>
        <w:t>缺口较大，</w:t>
      </w:r>
      <w:r>
        <w:rPr>
          <w:rFonts w:hint="eastAsia" w:asciiTheme="minorEastAsia" w:hAnsiTheme="minorEastAsia" w:eastAsiaTheme="minorEastAsia" w:cstheme="minorEastAsia"/>
          <w:sz w:val="28"/>
          <w:szCs w:val="28"/>
        </w:rPr>
        <w:t>资源供需分析本次以满足本地需求为主，预测还会有外地的输入资源量。</w:t>
      </w:r>
    </w:p>
    <w:p>
      <w:pPr>
        <w:shd w:val="clear" w:color="auto" w:fill="FFFFFF"/>
        <w:spacing w:line="360" w:lineRule="auto"/>
        <w:ind w:firstLine="561"/>
        <w:rPr>
          <w:rFonts w:ascii="宋体" w:hAnsi="宋体"/>
          <w:sz w:val="28"/>
          <w:szCs w:val="28"/>
        </w:rPr>
      </w:pPr>
      <w:r>
        <w:rPr>
          <w:rFonts w:hint="eastAsia" w:ascii="宋体" w:hAnsi="宋体"/>
          <w:sz w:val="28"/>
          <w:szCs w:val="28"/>
        </w:rPr>
        <w:t>2、绿色矿业发展对砂石土矿开发利用提出了新的要求</w:t>
      </w:r>
    </w:p>
    <w:p>
      <w:pPr>
        <w:spacing w:line="360" w:lineRule="auto"/>
        <w:ind w:left="210" w:leftChars="100"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党的十九大精神和习近平生态文明思想，坚持生态优先、绿色发展，对砂石土矿山生态文明建设提出了更高要求，全面落实生态文明建设总体要求，推进砂石土矿资源利用方式和矿业发展方式转变，依靠科技进步和科学管理，促进砂石土矿产资源开发利用结构调整和优化，提高资源利用效率，落实并执行矿产资源法律法规及相关政策要求，统筹谋划矿产资源勘查开发、矿山地质环境恢复治理、绿色矿山建设等工作。</w:t>
      </w:r>
    </w:p>
    <w:p>
      <w:pPr>
        <w:spacing w:line="360" w:lineRule="auto"/>
        <w:ind w:left="210" w:leftChars="100" w:firstLine="560" w:firstLineChars="200"/>
        <w:rPr>
          <w:rFonts w:asciiTheme="minorEastAsia" w:hAnsiTheme="minorEastAsia" w:cstheme="minorEastAsia"/>
          <w:sz w:val="28"/>
          <w:szCs w:val="28"/>
        </w:rPr>
      </w:pPr>
      <w:r>
        <w:rPr>
          <w:rFonts w:hint="eastAsia" w:asciiTheme="minorEastAsia" w:hAnsiTheme="minorEastAsia" w:cstheme="minorEastAsia"/>
          <w:sz w:val="28"/>
          <w:szCs w:val="28"/>
        </w:rPr>
        <w:t>3. 全市砂石土矿产业具有很大的提升空间</w:t>
      </w:r>
    </w:p>
    <w:p>
      <w:pPr>
        <w:shd w:val="clear" w:color="auto" w:fill="FFFFFF"/>
        <w:spacing w:line="360" w:lineRule="auto"/>
        <w:ind w:firstLine="561"/>
        <w:rPr>
          <w:rFonts w:ascii="宋体" w:hAnsi="宋体"/>
          <w:sz w:val="28"/>
          <w:szCs w:val="28"/>
        </w:rPr>
      </w:pPr>
      <w:r>
        <w:rPr>
          <w:rFonts w:hint="eastAsia" w:ascii="宋体" w:hAnsi="宋体"/>
          <w:sz w:val="28"/>
          <w:szCs w:val="28"/>
        </w:rPr>
        <w:t>耒阳市砂石土资源丰富、质量好、销路广，开发前景也较为广阔，具有较强发展优势。围绕全市“产业兴市”的战略，紧扣省、衡阳市砂石土矿保护与开发利用政策，积极主动与上级部门对接，在规划期内建设10家年产100万吨以上的中型规模矿山，可全力保障基础设施建设和民生对矿产资源需求。严格按照绿色矿山标准建设砂石土矿山，可彻底扭转砂石土矿开发“散、小、乱、污”的形象。</w:t>
      </w:r>
    </w:p>
    <w:p>
      <w:pP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br w:type="page"/>
      </w:r>
    </w:p>
    <w:p>
      <w:pPr>
        <w:pStyle w:val="5"/>
        <w:jc w:val="center"/>
        <w:rPr>
          <w:rFonts w:hint="default" w:ascii="黑体" w:hAnsi="黑体" w:eastAsia="黑体" w:cs="黑体"/>
          <w:b w:val="0"/>
          <w:bCs/>
          <w:sz w:val="36"/>
          <w:szCs w:val="36"/>
        </w:rPr>
      </w:pPr>
      <w:bookmarkStart w:id="5" w:name="_Toc1625"/>
      <w:r>
        <w:rPr>
          <w:rFonts w:ascii="黑体" w:hAnsi="黑体" w:eastAsia="黑体" w:cs="黑体"/>
          <w:b w:val="0"/>
          <w:bCs/>
          <w:sz w:val="36"/>
          <w:szCs w:val="36"/>
        </w:rPr>
        <w:t>二、指导思想、原则与目标</w:t>
      </w:r>
      <w:bookmarkEnd w:id="5"/>
    </w:p>
    <w:p>
      <w:pPr>
        <w:pStyle w:val="5"/>
        <w:ind w:firstLine="562" w:firstLineChars="200"/>
        <w:rPr>
          <w:rFonts w:hint="default"/>
          <w:sz w:val="28"/>
          <w:szCs w:val="28"/>
        </w:rPr>
      </w:pPr>
      <w:bookmarkStart w:id="6" w:name="_Toc13849"/>
      <w:r>
        <w:rPr>
          <w:sz w:val="28"/>
          <w:szCs w:val="28"/>
        </w:rPr>
        <w:t>(一)指导思想</w:t>
      </w:r>
      <w:bookmarkEnd w:id="6"/>
    </w:p>
    <w:p>
      <w:pPr>
        <w:shd w:val="clear" w:color="auto" w:fill="FFFFFF"/>
        <w:spacing w:line="520" w:lineRule="exact"/>
        <w:ind w:firstLine="560" w:firstLineChars="200"/>
        <w:rPr>
          <w:rFonts w:ascii="宋体" w:hAnsi="宋体"/>
          <w:sz w:val="28"/>
          <w:szCs w:val="28"/>
        </w:rPr>
      </w:pPr>
      <w:r>
        <w:rPr>
          <w:rFonts w:hint="eastAsia" w:ascii="宋体" w:hAnsi="宋体"/>
          <w:sz w:val="28"/>
          <w:szCs w:val="28"/>
        </w:rPr>
        <w:t>以习近平新时代中国特色社会主义思想为指导，全面贯彻党的十九大和十九届二中、三中、四中全会精神，坚持生态优先、绿色发展，全面落实国土空间规划关于矿产资源专项的新定位，充分发挥专项规划的引领作用，切实做好区域砂石土矿保护与开发，提高砂石资源保障</w:t>
      </w:r>
      <w:r>
        <w:rPr>
          <w:rFonts w:hint="eastAsia" w:ascii="宋体" w:hAnsi="宋体"/>
          <w:sz w:val="28"/>
          <w:szCs w:val="28"/>
          <w:lang w:eastAsia="zh-CN"/>
        </w:rPr>
        <w:t>供给</w:t>
      </w:r>
      <w:r>
        <w:rPr>
          <w:rFonts w:hint="eastAsia" w:ascii="宋体" w:hAnsi="宋体"/>
          <w:sz w:val="28"/>
          <w:szCs w:val="28"/>
        </w:rPr>
        <w:t>。</w:t>
      </w:r>
    </w:p>
    <w:p>
      <w:pPr>
        <w:pStyle w:val="5"/>
        <w:ind w:firstLine="562" w:firstLineChars="200"/>
        <w:rPr>
          <w:rFonts w:hint="default"/>
          <w:sz w:val="28"/>
          <w:szCs w:val="28"/>
        </w:rPr>
      </w:pPr>
      <w:bookmarkStart w:id="7" w:name="_Toc23918"/>
      <w:r>
        <w:rPr>
          <w:sz w:val="28"/>
          <w:szCs w:val="28"/>
        </w:rPr>
        <w:t>(二)基本原则</w:t>
      </w:r>
      <w:bookmarkEnd w:id="7"/>
    </w:p>
    <w:p>
      <w:pPr>
        <w:shd w:val="clear" w:color="auto" w:fill="FFFFFF"/>
        <w:spacing w:line="520" w:lineRule="exact"/>
        <w:ind w:firstLine="560" w:firstLineChars="200"/>
        <w:rPr>
          <w:rFonts w:ascii="宋体" w:hAnsi="宋体"/>
          <w:sz w:val="28"/>
          <w:szCs w:val="28"/>
        </w:rPr>
      </w:pPr>
      <w:r>
        <w:rPr>
          <w:rFonts w:hint="eastAsia" w:ascii="宋体" w:hAnsi="宋体"/>
          <w:sz w:val="28"/>
          <w:szCs w:val="28"/>
        </w:rPr>
        <w:t>（1）坚持生态优先，开发与保护协调统一。按照生态文明建设要求，牢固树立保护生态环境就是保护生产力，改善生态环境就是发展生产力的理念，通过规划空间引导，坚决退出、避开生态敏感区域，有效指导砂石矿产生产布局，促进形成资源开发与环境保护协调统一的格局；</w:t>
      </w:r>
    </w:p>
    <w:p>
      <w:pPr>
        <w:shd w:val="clear" w:color="auto" w:fill="FFFFFF"/>
        <w:spacing w:line="520" w:lineRule="exact"/>
        <w:ind w:firstLine="560" w:firstLineChars="200"/>
        <w:rPr>
          <w:rFonts w:ascii="宋体" w:hAnsi="宋体"/>
          <w:sz w:val="28"/>
          <w:szCs w:val="28"/>
        </w:rPr>
      </w:pPr>
      <w:r>
        <w:rPr>
          <w:rFonts w:hint="eastAsia" w:ascii="宋体" w:hAnsi="宋体"/>
          <w:sz w:val="28"/>
          <w:szCs w:val="28"/>
        </w:rPr>
        <w:t>（2）坚持科学管理，促进资源开采转型升级。贯彻绿色可持续发展要求，淘汰落后产能，压缩小型采石场数量；引导企业用先进的技术、装备和科学的生产方式，大力提升资源开发利用质量和效率，加快资源开发利用方式由粗放型向节约集约型转变；</w:t>
      </w:r>
    </w:p>
    <w:p>
      <w:pPr>
        <w:shd w:val="clear" w:color="auto" w:fill="FFFFFF"/>
        <w:spacing w:line="520" w:lineRule="exact"/>
        <w:ind w:firstLine="560" w:firstLineChars="200"/>
        <w:rPr>
          <w:rFonts w:ascii="宋体" w:hAnsi="宋体"/>
          <w:sz w:val="28"/>
          <w:szCs w:val="28"/>
        </w:rPr>
      </w:pPr>
      <w:r>
        <w:rPr>
          <w:rFonts w:hint="eastAsia" w:ascii="宋体" w:hAnsi="宋体"/>
          <w:sz w:val="28"/>
          <w:szCs w:val="28"/>
        </w:rPr>
        <w:t>（3）坚持维护广大群众利益。矿产资源开发利用活动要惠民利民，通过管理创新、机制创新让人民群众分享到矿业开发的收益，服务区域发展和民生改善；</w:t>
      </w:r>
    </w:p>
    <w:p>
      <w:pPr>
        <w:pStyle w:val="5"/>
        <w:ind w:firstLine="562" w:firstLineChars="200"/>
        <w:rPr>
          <w:rFonts w:hint="default"/>
          <w:sz w:val="28"/>
          <w:szCs w:val="28"/>
        </w:rPr>
      </w:pPr>
      <w:bookmarkStart w:id="8" w:name="_Toc15719"/>
      <w:r>
        <w:rPr>
          <w:sz w:val="28"/>
          <w:szCs w:val="28"/>
        </w:rPr>
        <w:t>(三)规划目标</w:t>
      </w:r>
      <w:bookmarkEnd w:id="8"/>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到2021年，对全市砂石土矿专项整治基本完成，在产矿山基本实现绿色开发，关闭矿山基本复绿，市场供需基本平衡，推动矿业绿色发展（见专栏一）。</w:t>
      </w:r>
    </w:p>
    <w:tbl>
      <w:tblPr>
        <w:tblStyle w:val="17"/>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3096"/>
        <w:gridCol w:w="855"/>
        <w:gridCol w:w="1817"/>
        <w:gridCol w:w="1663"/>
        <w:gridCol w:w="100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4" w:hRule="atLeast"/>
          <w:tblHeader/>
          <w:jc w:val="center"/>
        </w:trPr>
        <w:tc>
          <w:tcPr>
            <w:tcW w:w="8440" w:type="dxa"/>
            <w:gridSpan w:val="5"/>
            <w:tcBorders>
              <w:tl2br w:val="nil"/>
              <w:tr2bl w:val="nil"/>
            </w:tcBorders>
            <w:vAlign w:val="center"/>
          </w:tcPr>
          <w:p>
            <w:pPr>
              <w:widowControl/>
              <w:snapToGrid w:val="0"/>
              <w:spacing w:line="320" w:lineRule="exact"/>
              <w:rPr>
                <w:rFonts w:ascii="仿宋" w:hAnsi="仿宋" w:eastAsia="仿宋"/>
                <w:b/>
                <w:sz w:val="24"/>
              </w:rPr>
            </w:pPr>
            <w:r>
              <w:rPr>
                <w:rFonts w:hint="eastAsia" w:ascii="仿宋" w:hAnsi="仿宋" w:eastAsia="仿宋"/>
                <w:b/>
                <w:sz w:val="24"/>
              </w:rPr>
              <w:t>专栏一              耒阳市砂石土矿专项规划主要指标表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blHeader/>
          <w:jc w:val="center"/>
        </w:trPr>
        <w:tc>
          <w:tcPr>
            <w:tcW w:w="3096" w:type="dxa"/>
            <w:vMerge w:val="restart"/>
            <w:tcBorders>
              <w:tl2br w:val="nil"/>
              <w:tr2bl w:val="nil"/>
            </w:tcBorders>
            <w:vAlign w:val="center"/>
          </w:tcPr>
          <w:p>
            <w:pPr>
              <w:widowControl/>
              <w:snapToGrid w:val="0"/>
              <w:spacing w:line="320" w:lineRule="exact"/>
              <w:jc w:val="center"/>
              <w:rPr>
                <w:rFonts w:ascii="仿宋" w:hAnsi="仿宋" w:eastAsia="仿宋" w:cs="宋体"/>
                <w:b/>
                <w:kern w:val="0"/>
                <w:szCs w:val="21"/>
              </w:rPr>
            </w:pPr>
            <w:bookmarkStart w:id="9" w:name="_Toc261598208"/>
            <w:bookmarkEnd w:id="9"/>
            <w:bookmarkStart w:id="10" w:name="_Toc246218716"/>
            <w:bookmarkEnd w:id="10"/>
            <w:r>
              <w:rPr>
                <w:rFonts w:hint="eastAsia" w:ascii="仿宋" w:hAnsi="仿宋" w:eastAsia="仿宋" w:cs="宋体"/>
                <w:b/>
                <w:kern w:val="0"/>
                <w:szCs w:val="21"/>
              </w:rPr>
              <w:t>指标</w:t>
            </w:r>
          </w:p>
        </w:tc>
        <w:tc>
          <w:tcPr>
            <w:tcW w:w="855" w:type="dxa"/>
            <w:vMerge w:val="restart"/>
            <w:tcBorders>
              <w:tl2br w:val="nil"/>
              <w:tr2bl w:val="nil"/>
            </w:tcBorders>
            <w:vAlign w:val="center"/>
          </w:tcPr>
          <w:p>
            <w:pPr>
              <w:widowControl/>
              <w:snapToGrid w:val="0"/>
              <w:spacing w:line="320" w:lineRule="exact"/>
              <w:jc w:val="center"/>
              <w:rPr>
                <w:rFonts w:ascii="仿宋" w:hAnsi="仿宋" w:eastAsia="仿宋" w:cs="宋体"/>
                <w:b/>
                <w:kern w:val="0"/>
                <w:szCs w:val="21"/>
              </w:rPr>
            </w:pPr>
            <w:r>
              <w:rPr>
                <w:rFonts w:hint="eastAsia" w:ascii="仿宋" w:hAnsi="仿宋" w:eastAsia="仿宋" w:cs="宋体"/>
                <w:b/>
                <w:kern w:val="0"/>
                <w:szCs w:val="21"/>
              </w:rPr>
              <w:t>单位</w:t>
            </w:r>
          </w:p>
        </w:tc>
        <w:tc>
          <w:tcPr>
            <w:tcW w:w="3480" w:type="dxa"/>
            <w:gridSpan w:val="2"/>
            <w:tcBorders>
              <w:tl2br w:val="nil"/>
              <w:tr2bl w:val="nil"/>
            </w:tcBorders>
            <w:vAlign w:val="center"/>
          </w:tcPr>
          <w:p>
            <w:pPr>
              <w:widowControl/>
              <w:snapToGrid w:val="0"/>
              <w:spacing w:line="320" w:lineRule="exact"/>
              <w:jc w:val="center"/>
              <w:rPr>
                <w:rFonts w:ascii="仿宋" w:hAnsi="仿宋" w:eastAsia="仿宋" w:cs="宋体"/>
                <w:b/>
                <w:kern w:val="0"/>
                <w:szCs w:val="21"/>
              </w:rPr>
            </w:pPr>
            <w:r>
              <w:rPr>
                <w:rFonts w:hint="eastAsia" w:ascii="仿宋" w:hAnsi="仿宋" w:eastAsia="仿宋" w:cs="宋体"/>
                <w:b/>
                <w:kern w:val="0"/>
                <w:szCs w:val="21"/>
              </w:rPr>
              <w:t>规划指标</w:t>
            </w:r>
          </w:p>
        </w:tc>
        <w:tc>
          <w:tcPr>
            <w:tcW w:w="1009" w:type="dxa"/>
            <w:vMerge w:val="restart"/>
            <w:tcBorders>
              <w:tl2br w:val="nil"/>
              <w:tr2bl w:val="nil"/>
            </w:tcBorders>
            <w:vAlign w:val="center"/>
          </w:tcPr>
          <w:p>
            <w:pPr>
              <w:widowControl/>
              <w:snapToGrid w:val="0"/>
              <w:spacing w:line="320" w:lineRule="exact"/>
              <w:jc w:val="center"/>
              <w:rPr>
                <w:rFonts w:ascii="仿宋" w:hAnsi="仿宋" w:eastAsia="仿宋" w:cs="宋体"/>
                <w:b/>
                <w:kern w:val="0"/>
                <w:szCs w:val="21"/>
              </w:rPr>
            </w:pPr>
            <w:r>
              <w:rPr>
                <w:rFonts w:hint="eastAsia" w:ascii="仿宋" w:hAnsi="仿宋" w:eastAsia="仿宋" w:cs="宋体"/>
                <w:b/>
                <w:kern w:val="0"/>
                <w:szCs w:val="21"/>
              </w:rPr>
              <w:t>属性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66" w:hRule="atLeast"/>
          <w:tblHeader/>
          <w:jc w:val="center"/>
        </w:trPr>
        <w:tc>
          <w:tcPr>
            <w:tcW w:w="3096" w:type="dxa"/>
            <w:vMerge w:val="continue"/>
            <w:tcBorders>
              <w:tl2br w:val="nil"/>
              <w:tr2bl w:val="nil"/>
            </w:tcBorders>
            <w:vAlign w:val="center"/>
          </w:tcPr>
          <w:p>
            <w:pPr>
              <w:widowControl/>
              <w:snapToGrid w:val="0"/>
              <w:spacing w:line="320" w:lineRule="exact"/>
              <w:jc w:val="center"/>
              <w:rPr>
                <w:rFonts w:ascii="仿宋" w:hAnsi="仿宋" w:eastAsia="仿宋" w:cs="宋体"/>
                <w:b/>
                <w:kern w:val="0"/>
                <w:szCs w:val="21"/>
              </w:rPr>
            </w:pPr>
          </w:p>
        </w:tc>
        <w:tc>
          <w:tcPr>
            <w:tcW w:w="855" w:type="dxa"/>
            <w:vMerge w:val="continue"/>
            <w:tcBorders>
              <w:tl2br w:val="nil"/>
              <w:tr2bl w:val="nil"/>
            </w:tcBorders>
            <w:vAlign w:val="center"/>
          </w:tcPr>
          <w:p>
            <w:pPr>
              <w:widowControl/>
              <w:snapToGrid w:val="0"/>
              <w:spacing w:line="320" w:lineRule="exact"/>
              <w:jc w:val="center"/>
              <w:rPr>
                <w:rFonts w:ascii="仿宋" w:hAnsi="仿宋" w:eastAsia="仿宋" w:cs="宋体"/>
                <w:b/>
                <w:kern w:val="0"/>
                <w:szCs w:val="21"/>
              </w:rPr>
            </w:pPr>
          </w:p>
        </w:tc>
        <w:tc>
          <w:tcPr>
            <w:tcW w:w="1817" w:type="dxa"/>
            <w:tcBorders>
              <w:tl2br w:val="nil"/>
              <w:tr2bl w:val="nil"/>
            </w:tcBorders>
            <w:vAlign w:val="center"/>
          </w:tcPr>
          <w:p>
            <w:pPr>
              <w:widowControl/>
              <w:snapToGrid w:val="0"/>
              <w:spacing w:line="320" w:lineRule="exact"/>
              <w:jc w:val="center"/>
              <w:rPr>
                <w:rFonts w:ascii="仿宋" w:hAnsi="仿宋" w:eastAsia="仿宋" w:cs="宋体"/>
                <w:b/>
                <w:kern w:val="0"/>
                <w:szCs w:val="21"/>
              </w:rPr>
            </w:pPr>
            <w:r>
              <w:rPr>
                <w:rFonts w:hint="eastAsia" w:ascii="仿宋" w:hAnsi="仿宋" w:eastAsia="仿宋" w:cs="宋体"/>
                <w:b/>
                <w:kern w:val="0"/>
                <w:szCs w:val="21"/>
              </w:rPr>
              <w:t>2021年</w:t>
            </w:r>
          </w:p>
        </w:tc>
        <w:tc>
          <w:tcPr>
            <w:tcW w:w="1663" w:type="dxa"/>
            <w:tcBorders>
              <w:tl2br w:val="nil"/>
              <w:tr2bl w:val="nil"/>
            </w:tcBorders>
            <w:vAlign w:val="center"/>
          </w:tcPr>
          <w:p>
            <w:pPr>
              <w:widowControl/>
              <w:snapToGrid w:val="0"/>
              <w:spacing w:line="320" w:lineRule="exact"/>
              <w:jc w:val="center"/>
              <w:rPr>
                <w:rFonts w:ascii="仿宋" w:hAnsi="仿宋" w:eastAsia="仿宋" w:cs="宋体"/>
                <w:b/>
                <w:kern w:val="0"/>
                <w:szCs w:val="21"/>
              </w:rPr>
            </w:pPr>
            <w:r>
              <w:rPr>
                <w:rFonts w:hint="eastAsia" w:ascii="仿宋" w:hAnsi="仿宋" w:eastAsia="仿宋" w:cs="宋体"/>
                <w:b/>
                <w:kern w:val="0"/>
                <w:szCs w:val="21"/>
              </w:rPr>
              <w:t>2025年</w:t>
            </w:r>
          </w:p>
        </w:tc>
        <w:tc>
          <w:tcPr>
            <w:tcW w:w="1009" w:type="dxa"/>
            <w:vMerge w:val="continue"/>
            <w:tcBorders>
              <w:tl2br w:val="nil"/>
              <w:tr2bl w:val="nil"/>
            </w:tcBorders>
            <w:vAlign w:val="center"/>
          </w:tcPr>
          <w:p>
            <w:pPr>
              <w:widowControl/>
              <w:snapToGrid w:val="0"/>
              <w:spacing w:line="320" w:lineRule="exact"/>
              <w:jc w:val="center"/>
              <w:rPr>
                <w:rFonts w:ascii="仿宋" w:hAnsi="仿宋" w:eastAsia="仿宋" w:cs="宋体"/>
                <w:b/>
                <w:kern w:val="0"/>
                <w:szCs w:val="21"/>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13" w:hRule="atLeast"/>
          <w:jc w:val="center"/>
        </w:trPr>
        <w:tc>
          <w:tcPr>
            <w:tcW w:w="3096"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rPr>
              <w:t>年</w:t>
            </w:r>
            <w:r>
              <w:rPr>
                <w:rFonts w:hint="eastAsia" w:ascii="仿宋" w:hAnsi="仿宋" w:eastAsia="仿宋" w:cs="宋体"/>
                <w:kern w:val="0"/>
                <w:sz w:val="24"/>
                <w:lang w:eastAsia="en-US"/>
              </w:rPr>
              <w:t>开采总量</w:t>
            </w:r>
          </w:p>
        </w:tc>
        <w:tc>
          <w:tcPr>
            <w:tcW w:w="855"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rPr>
              <w:t>万吨</w:t>
            </w:r>
          </w:p>
        </w:tc>
        <w:tc>
          <w:tcPr>
            <w:tcW w:w="1817"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rPr>
              <w:t>1600</w:t>
            </w:r>
          </w:p>
        </w:tc>
        <w:tc>
          <w:tcPr>
            <w:tcW w:w="1663"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rPr>
              <w:t>2200</w:t>
            </w:r>
          </w:p>
        </w:tc>
        <w:tc>
          <w:tcPr>
            <w:tcW w:w="1009"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lang w:eastAsia="en-US"/>
              </w:rPr>
              <w:t>预期性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096"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rPr>
              <w:t>砂石土矿个数</w:t>
            </w:r>
          </w:p>
        </w:tc>
        <w:tc>
          <w:tcPr>
            <w:tcW w:w="855"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个</w:t>
            </w:r>
          </w:p>
        </w:tc>
        <w:tc>
          <w:tcPr>
            <w:tcW w:w="1817"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23</w:t>
            </w:r>
          </w:p>
        </w:tc>
        <w:tc>
          <w:tcPr>
            <w:tcW w:w="1663"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23</w:t>
            </w:r>
          </w:p>
        </w:tc>
        <w:tc>
          <w:tcPr>
            <w:tcW w:w="1009" w:type="dxa"/>
            <w:tcBorders>
              <w:tl2br w:val="nil"/>
              <w:tr2bl w:val="nil"/>
            </w:tcBorders>
          </w:tcPr>
          <w:p>
            <w:pPr>
              <w:spacing w:line="320" w:lineRule="exact"/>
              <w:jc w:val="center"/>
              <w:rPr>
                <w:rFonts w:ascii="仿宋" w:hAnsi="仿宋" w:eastAsia="仿宋" w:cs="宋体"/>
                <w:kern w:val="0"/>
                <w:sz w:val="24"/>
              </w:rPr>
            </w:pPr>
            <w:r>
              <w:rPr>
                <w:rFonts w:hint="eastAsia" w:ascii="仿宋" w:hAnsi="仿宋" w:eastAsia="仿宋" w:cs="宋体"/>
                <w:kern w:val="0"/>
                <w:sz w:val="24"/>
                <w:lang w:eastAsia="en-US"/>
              </w:rPr>
              <w:t>约束性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33" w:hRule="atLeast"/>
          <w:jc w:val="center"/>
        </w:trPr>
        <w:tc>
          <w:tcPr>
            <w:tcW w:w="3096"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rPr>
              <w:t>大中型矿山比例</w:t>
            </w:r>
          </w:p>
        </w:tc>
        <w:tc>
          <w:tcPr>
            <w:tcW w:w="855" w:type="dxa"/>
            <w:tcBorders>
              <w:tl2br w:val="nil"/>
              <w:tr2bl w:val="nil"/>
            </w:tcBorders>
            <w:vAlign w:val="center"/>
          </w:tcPr>
          <w:p>
            <w:pPr>
              <w:widowControl/>
              <w:snapToGrid w:val="0"/>
              <w:spacing w:line="320" w:lineRule="exact"/>
              <w:jc w:val="center"/>
              <w:rPr>
                <w:rFonts w:ascii="仿宋" w:hAnsi="仿宋" w:cs="宋体" w:eastAsiaTheme="minorEastAsia"/>
                <w:kern w:val="0"/>
                <w:sz w:val="24"/>
              </w:rPr>
            </w:pPr>
            <w:r>
              <w:rPr>
                <w:rFonts w:hint="eastAsia" w:ascii="仿宋" w:hAnsi="仿宋" w:eastAsia="仿宋" w:cs="宋体"/>
                <w:kern w:val="0"/>
                <w:sz w:val="24"/>
              </w:rPr>
              <w:t>%</w:t>
            </w:r>
          </w:p>
        </w:tc>
        <w:tc>
          <w:tcPr>
            <w:tcW w:w="1817" w:type="dxa"/>
            <w:tcBorders>
              <w:tl2br w:val="nil"/>
              <w:tr2bl w:val="nil"/>
            </w:tcBorders>
            <w:vAlign w:val="center"/>
          </w:tcPr>
          <w:p>
            <w:pPr>
              <w:widowControl/>
              <w:snapToGrid w:val="0"/>
              <w:spacing w:line="320" w:lineRule="exact"/>
              <w:jc w:val="center"/>
              <w:rPr>
                <w:rFonts w:ascii="仿宋" w:hAnsi="仿宋" w:cs="宋体" w:eastAsiaTheme="minorEastAsia"/>
                <w:kern w:val="0"/>
                <w:sz w:val="24"/>
              </w:rPr>
            </w:pPr>
            <w:r>
              <w:rPr>
                <w:rFonts w:hint="eastAsia" w:ascii="仿宋" w:hAnsi="仿宋" w:eastAsia="仿宋" w:cs="宋体"/>
                <w:kern w:val="0"/>
                <w:sz w:val="24"/>
              </w:rPr>
              <w:t>39.1</w:t>
            </w:r>
          </w:p>
        </w:tc>
        <w:tc>
          <w:tcPr>
            <w:tcW w:w="1663"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50</w:t>
            </w:r>
          </w:p>
        </w:tc>
        <w:tc>
          <w:tcPr>
            <w:tcW w:w="1009"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lang w:eastAsia="en-US"/>
              </w:rPr>
              <w:t>约束性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19" w:hRule="atLeast"/>
          <w:jc w:val="center"/>
        </w:trPr>
        <w:tc>
          <w:tcPr>
            <w:tcW w:w="3096"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矿山"三率"水平达标率</w:t>
            </w:r>
          </w:p>
        </w:tc>
        <w:tc>
          <w:tcPr>
            <w:tcW w:w="855"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w:t>
            </w:r>
          </w:p>
        </w:tc>
        <w:tc>
          <w:tcPr>
            <w:tcW w:w="1817"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100</w:t>
            </w:r>
          </w:p>
        </w:tc>
        <w:tc>
          <w:tcPr>
            <w:tcW w:w="1663"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100</w:t>
            </w:r>
          </w:p>
        </w:tc>
        <w:tc>
          <w:tcPr>
            <w:tcW w:w="1009"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约束性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3096"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历史遗留矿山修复治理面积</w:t>
            </w:r>
          </w:p>
        </w:tc>
        <w:tc>
          <w:tcPr>
            <w:tcW w:w="855"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公顷</w:t>
            </w:r>
          </w:p>
        </w:tc>
        <w:tc>
          <w:tcPr>
            <w:tcW w:w="1817"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26.24</w:t>
            </w:r>
          </w:p>
        </w:tc>
        <w:tc>
          <w:tcPr>
            <w:tcW w:w="1663" w:type="dxa"/>
            <w:tcBorders>
              <w:tl2br w:val="nil"/>
              <w:tr2bl w:val="nil"/>
            </w:tcBorders>
            <w:vAlign w:val="center"/>
          </w:tcPr>
          <w:p>
            <w:pPr>
              <w:widowControl/>
              <w:snapToGrid w:val="0"/>
              <w:spacing w:line="320" w:lineRule="exact"/>
              <w:jc w:val="center"/>
              <w:rPr>
                <w:rFonts w:ascii="仿宋" w:hAnsi="仿宋" w:eastAsia="仿宋" w:cs="宋体"/>
                <w:kern w:val="0"/>
                <w:sz w:val="24"/>
              </w:rPr>
            </w:pPr>
            <w:r>
              <w:rPr>
                <w:rFonts w:hint="eastAsia" w:ascii="仿宋" w:hAnsi="仿宋" w:eastAsia="仿宋" w:cs="宋体"/>
                <w:kern w:val="0"/>
                <w:sz w:val="24"/>
              </w:rPr>
              <w:t>45.58</w:t>
            </w:r>
          </w:p>
        </w:tc>
        <w:tc>
          <w:tcPr>
            <w:tcW w:w="1009" w:type="dxa"/>
            <w:tcBorders>
              <w:tl2br w:val="nil"/>
              <w:tr2bl w:val="nil"/>
            </w:tcBorders>
            <w:vAlign w:val="center"/>
          </w:tcPr>
          <w:p>
            <w:pPr>
              <w:snapToGrid w:val="0"/>
              <w:spacing w:line="320" w:lineRule="exact"/>
              <w:jc w:val="center"/>
              <w:rPr>
                <w:rFonts w:ascii="仿宋" w:hAnsi="仿宋" w:eastAsia="仿宋" w:cs="宋体"/>
                <w:kern w:val="0"/>
                <w:sz w:val="24"/>
              </w:rPr>
            </w:pPr>
            <w:r>
              <w:rPr>
                <w:rFonts w:hint="eastAsia" w:ascii="仿宋" w:hAnsi="仿宋" w:eastAsia="仿宋" w:cs="宋体"/>
                <w:kern w:val="0"/>
                <w:sz w:val="24"/>
                <w:lang w:eastAsia="en-US"/>
              </w:rPr>
              <w:t>约束性</w:t>
            </w:r>
          </w:p>
        </w:tc>
      </w:tr>
    </w:tbl>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——矿山总量得到有效调控，砂石土矿山集中整治到位。按照上级文件精神，2021年，全市砂石土矿控制在23家以内，年开采总量达到1600万吨；到2025年维持在23家，年开采总量达到2200万吨。</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——矿业发展转型与绿色发展格局基本形成。</w:t>
      </w:r>
      <w:r>
        <w:rPr>
          <w:rFonts w:hint="eastAsia" w:ascii="宋体" w:hAnsi="宋体" w:cs="宋体"/>
          <w:sz w:val="28"/>
          <w:szCs w:val="28"/>
        </w:rPr>
        <w:t>到2021年，力争大中型矿山比例达</w:t>
      </w:r>
      <w:r>
        <w:rPr>
          <w:rFonts w:hint="eastAsia" w:asciiTheme="minorEastAsia" w:hAnsiTheme="minorEastAsia" w:eastAsiaTheme="minorEastAsia" w:cstheme="minorEastAsia"/>
          <w:sz w:val="28"/>
          <w:szCs w:val="28"/>
        </w:rPr>
        <w:t>到39.1%，</w:t>
      </w:r>
      <w:r>
        <w:rPr>
          <w:rFonts w:asciiTheme="minorEastAsia" w:hAnsiTheme="minorEastAsia" w:eastAsiaTheme="minorEastAsia" w:cstheme="minorEastAsia"/>
          <w:sz w:val="28"/>
          <w:szCs w:val="28"/>
        </w:rPr>
        <w:t>2022</w:t>
      </w:r>
      <w:r>
        <w:rPr>
          <w:rFonts w:hint="eastAsia" w:asciiTheme="minorEastAsia" w:hAnsiTheme="minorEastAsia" w:eastAsiaTheme="minorEastAsia" w:cstheme="minorEastAsia"/>
          <w:sz w:val="28"/>
          <w:szCs w:val="28"/>
        </w:rPr>
        <w:t>年现有矿山建成绿色矿山。</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——历史遗留地质环境问题得到基本解决。大力推进矿山地质环境综合防治，确保新建和生产矿山地质环境得到有效保护和及时治理，生产、新建、在建矿山闭坑后地质环境恢复治理率和土地复垦率达100%。</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——砂石土矿山长效管理机制全面建立。到2025年，资源有偿使用、矿山面貌显著改观，开采区、加工区、运矿通道井然有序、环境干净整洁等关键领域取得新突破，形成砂石土矿山长效管理机制。</w:t>
      </w:r>
    </w:p>
    <w:p>
      <w:pPr>
        <w:rPr>
          <w:rFonts w:eastAsia="仿宋_GB2312"/>
          <w:sz w:val="32"/>
          <w:szCs w:val="32"/>
        </w:rPr>
      </w:pPr>
      <w:r>
        <w:rPr>
          <w:rFonts w:eastAsia="仿宋_GB2312"/>
          <w:sz w:val="32"/>
          <w:szCs w:val="32"/>
        </w:rPr>
        <w:br w:type="page"/>
      </w:r>
    </w:p>
    <w:p>
      <w:pPr>
        <w:pStyle w:val="5"/>
        <w:jc w:val="center"/>
        <w:rPr>
          <w:rFonts w:hint="default" w:ascii="黑体" w:hAnsi="黑体" w:eastAsia="黑体" w:cs="黑体"/>
          <w:b w:val="0"/>
          <w:bCs/>
          <w:sz w:val="36"/>
          <w:szCs w:val="36"/>
        </w:rPr>
      </w:pPr>
      <w:bookmarkStart w:id="11" w:name="_Toc28290"/>
      <w:r>
        <w:rPr>
          <w:rFonts w:ascii="黑体" w:hAnsi="黑体" w:eastAsia="黑体" w:cs="黑体"/>
          <w:b w:val="0"/>
          <w:bCs/>
          <w:sz w:val="36"/>
          <w:szCs w:val="36"/>
        </w:rPr>
        <w:t>三、总量控制与资源开发布局</w:t>
      </w:r>
      <w:bookmarkEnd w:id="11"/>
    </w:p>
    <w:p>
      <w:pPr>
        <w:pStyle w:val="5"/>
        <w:ind w:firstLine="562" w:firstLineChars="200"/>
        <w:rPr>
          <w:rFonts w:hint="default"/>
          <w:sz w:val="28"/>
          <w:szCs w:val="28"/>
        </w:rPr>
      </w:pPr>
      <w:bookmarkStart w:id="12" w:name="_Toc12105"/>
      <w:r>
        <w:rPr>
          <w:sz w:val="28"/>
          <w:szCs w:val="28"/>
        </w:rPr>
        <w:t>(一)总量控制</w:t>
      </w:r>
      <w:bookmarkEnd w:id="12"/>
    </w:p>
    <w:p>
      <w:pPr>
        <w:spacing w:line="360" w:lineRule="auto"/>
        <w:ind w:firstLine="560" w:firstLineChars="200"/>
        <w:rPr>
          <w:rFonts w:asciiTheme="minorEastAsia" w:hAnsiTheme="minorEastAsia" w:eastAsiaTheme="minorEastAsia" w:cstheme="minorEastAsia"/>
          <w:kern w:val="0"/>
          <w:sz w:val="28"/>
          <w:szCs w:val="28"/>
        </w:rPr>
      </w:pPr>
      <w:r>
        <w:rPr>
          <w:rFonts w:hint="eastAsia" w:asciiTheme="minorEastAsia" w:hAnsiTheme="minorEastAsia" w:eastAsiaTheme="minorEastAsia" w:cstheme="minorEastAsia"/>
          <w:kern w:val="0"/>
          <w:sz w:val="28"/>
          <w:szCs w:val="28"/>
        </w:rPr>
        <w:t>到2021年耒阳市砂石土矿山控制在23个以内，到2025年维持在23个投放采矿权，规划设置的中型矿山9个，小型矿山14个。</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预期到2021年，全市砂石土矿山设计生产能力达到1600万吨，年开采总量1600万吨；到2025年，全市砂石土矿山设计生产能力达到2200万吨，年开采总量2200万吨。</w:t>
      </w:r>
    </w:p>
    <w:p>
      <w:pPr>
        <w:spacing w:line="360" w:lineRule="auto"/>
        <w:ind w:firstLine="560" w:firstLineChars="200"/>
        <w:rPr>
          <w:rFonts w:ascii="宋体" w:hAnsi="宋体" w:cs="宋体"/>
          <w:sz w:val="28"/>
          <w:szCs w:val="28"/>
        </w:rPr>
      </w:pPr>
      <w:r>
        <w:rPr>
          <w:rFonts w:hint="eastAsia" w:ascii="宋体" w:hAnsi="宋体" w:cs="宋体"/>
          <w:sz w:val="28"/>
          <w:szCs w:val="28"/>
        </w:rPr>
        <w:t>到2021年底耒阳市采矿权数控制在23个。全市有12个乡镇街道办事处设采矿权，见</w:t>
      </w:r>
      <w:r>
        <w:rPr>
          <w:rFonts w:hint="eastAsia" w:ascii="宋体" w:hAnsi="宋体" w:cs="宋体"/>
          <w:kern w:val="0"/>
          <w:sz w:val="28"/>
          <w:szCs w:val="28"/>
        </w:rPr>
        <w:t>专栏二</w:t>
      </w:r>
      <w:r>
        <w:rPr>
          <w:rFonts w:hint="eastAsia" w:ascii="宋体" w:hAnsi="宋体" w:cs="宋体"/>
          <w:sz w:val="28"/>
          <w:szCs w:val="28"/>
        </w:rPr>
        <w:t>。</w:t>
      </w:r>
    </w:p>
    <w:p>
      <w:pPr>
        <w:pStyle w:val="15"/>
        <w:widowControl/>
        <w:spacing w:before="150" w:beforeAutospacing="0" w:line="360" w:lineRule="auto"/>
        <w:ind w:firstLine="632" w:firstLineChars="300"/>
        <w:jc w:val="both"/>
        <w:rPr>
          <w:rStyle w:val="20"/>
          <w:rFonts w:ascii="宋体" w:hAnsi="宋体" w:cs="宋体"/>
          <w:sz w:val="21"/>
          <w:szCs w:val="22"/>
        </w:rPr>
      </w:pPr>
      <w:r>
        <w:rPr>
          <w:rStyle w:val="20"/>
          <w:rFonts w:hint="eastAsia" w:ascii="宋体" w:hAnsi="宋体" w:cs="宋体"/>
          <w:sz w:val="21"/>
          <w:szCs w:val="22"/>
        </w:rPr>
        <w:t>专栏二  各乡镇至2021年底采矿权一览表</w:t>
      </w:r>
    </w:p>
    <w:tbl>
      <w:tblPr>
        <w:tblStyle w:val="17"/>
        <w:tblW w:w="7531" w:type="dxa"/>
        <w:jc w:val="center"/>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Layout w:type="autofit"/>
        <w:tblCellMar>
          <w:top w:w="0" w:type="dxa"/>
          <w:left w:w="0" w:type="dxa"/>
          <w:bottom w:w="0" w:type="dxa"/>
          <w:right w:w="0" w:type="dxa"/>
        </w:tblCellMar>
      </w:tblPr>
      <w:tblGrid>
        <w:gridCol w:w="945"/>
        <w:gridCol w:w="1119"/>
        <w:gridCol w:w="1119"/>
        <w:gridCol w:w="1119"/>
        <w:gridCol w:w="1119"/>
        <w:gridCol w:w="1123"/>
        <w:gridCol w:w="987"/>
      </w:tblGrid>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690" w:hRule="atLeast"/>
          <w:tblHeader/>
          <w:jc w:val="center"/>
        </w:trPr>
        <w:tc>
          <w:tcPr>
            <w:tcW w:w="945"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矿种乡镇</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建筑石料用灰岩</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建筑用花岗岩</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建筑用玄武岩</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建筑用白云岩</w:t>
            </w:r>
          </w:p>
        </w:tc>
        <w:tc>
          <w:tcPr>
            <w:tcW w:w="112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砖瓦用页岩</w:t>
            </w:r>
          </w:p>
        </w:tc>
        <w:tc>
          <w:tcPr>
            <w:tcW w:w="9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合计</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64" w:hRule="atLeast"/>
          <w:tblHeader/>
          <w:jc w:val="center"/>
        </w:trPr>
        <w:tc>
          <w:tcPr>
            <w:tcW w:w="945"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大和圩乡</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528" w:hRule="atLeast"/>
          <w:tblHeader/>
          <w:jc w:val="center"/>
        </w:trPr>
        <w:tc>
          <w:tcPr>
            <w:tcW w:w="945"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南京镇</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53" w:hRule="atLeast"/>
          <w:tblHeader/>
          <w:jc w:val="center"/>
        </w:trPr>
        <w:tc>
          <w:tcPr>
            <w:tcW w:w="945" w:type="dxa"/>
            <w:tcBorders>
              <w:top w:val="single" w:color="000000" w:sz="8" w:space="0"/>
              <w:left w:val="single" w:color="000000" w:sz="8" w:space="0"/>
              <w:bottom w:val="single" w:color="000000" w:sz="8" w:space="0"/>
              <w:right w:val="single" w:color="000000"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仁义镇</w:t>
            </w: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112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478"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长坪乡</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小水镇</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公平圩镇</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3</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马水镇</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导子镇</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东湖圩镇</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sz w:val="18"/>
                <w:szCs w:val="18"/>
              </w:rPr>
              <w:t>2</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3</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三都镇</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sz w:val="18"/>
                <w:szCs w:val="18"/>
              </w:rPr>
              <w:t>1</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水东江街道办事处</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hint="eastAsia" w:ascii="Arial" w:hAnsi="Arial" w:cs="Arial"/>
                <w:b/>
                <w:sz w:val="18"/>
                <w:szCs w:val="18"/>
              </w:rPr>
              <w:t>余庆街道办事处</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6</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112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p>
        </w:tc>
        <w:tc>
          <w:tcPr>
            <w:tcW w:w="98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6</w:t>
            </w:r>
          </w:p>
        </w:tc>
      </w:tr>
      <w:tr>
        <w:tblPrEx>
          <w:tblBorders>
            <w:top w:val="outset" w:color="auto" w:sz="6" w:space="0"/>
            <w:left w:val="outset" w:color="auto" w:sz="6" w:space="0"/>
            <w:bottom w:val="outset" w:color="auto" w:sz="6" w:space="0"/>
            <w:right w:val="outset" w:color="auto" w:sz="6" w:space="0"/>
            <w:insideH w:val="outset" w:color="auto" w:sz="6" w:space="0"/>
            <w:insideV w:val="outset" w:color="auto" w:sz="6" w:space="0"/>
          </w:tblBorders>
          <w:tblCellMar>
            <w:top w:w="0" w:type="dxa"/>
            <w:left w:w="0" w:type="dxa"/>
            <w:bottom w:w="0" w:type="dxa"/>
            <w:right w:w="0" w:type="dxa"/>
          </w:tblCellMar>
        </w:tblPrEx>
        <w:trPr>
          <w:trHeight w:val="377" w:hRule="atLeast"/>
          <w:tblHeader/>
          <w:jc w:val="center"/>
        </w:trPr>
        <w:tc>
          <w:tcPr>
            <w:tcW w:w="945"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sz w:val="18"/>
                <w:szCs w:val="18"/>
              </w:rPr>
            </w:pPr>
            <w:r>
              <w:rPr>
                <w:rFonts w:hint="eastAsia" w:ascii="Arial" w:hAnsi="Arial" w:cs="Arial"/>
                <w:b/>
                <w:sz w:val="18"/>
                <w:szCs w:val="18"/>
              </w:rPr>
              <w:t>累计</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16</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1</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c>
          <w:tcPr>
            <w:tcW w:w="1119"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c>
          <w:tcPr>
            <w:tcW w:w="1123" w:type="dxa"/>
            <w:tcBorders>
              <w:top w:val="nil"/>
              <w:left w:val="nil"/>
              <w:bottom w:val="single" w:color="auto" w:sz="8" w:space="0"/>
              <w:right w:val="single" w:color="auto" w:sz="4"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w:t>
            </w:r>
          </w:p>
        </w:tc>
        <w:tc>
          <w:tcPr>
            <w:tcW w:w="987" w:type="dxa"/>
            <w:tcBorders>
              <w:top w:val="nil"/>
              <w:left w:val="single" w:color="auto" w:sz="4"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Arial" w:hAnsi="Arial" w:cs="Arial"/>
                <w:b/>
                <w:sz w:val="18"/>
                <w:szCs w:val="18"/>
              </w:rPr>
            </w:pPr>
            <w:r>
              <w:rPr>
                <w:rFonts w:ascii="Arial" w:hAnsi="Arial" w:cs="Arial"/>
                <w:b/>
                <w:sz w:val="18"/>
                <w:szCs w:val="18"/>
              </w:rPr>
              <w:t>23</w:t>
            </w:r>
          </w:p>
        </w:tc>
      </w:tr>
    </w:tbl>
    <w:p>
      <w:pPr>
        <w:spacing w:line="360" w:lineRule="auto"/>
        <w:ind w:firstLine="560" w:firstLineChars="200"/>
        <w:rPr>
          <w:rFonts w:ascii="宋体" w:hAnsi="宋体" w:cs="宋体"/>
          <w:sz w:val="28"/>
          <w:szCs w:val="28"/>
        </w:rPr>
      </w:pPr>
      <w:bookmarkStart w:id="13" w:name="_Toc23325"/>
      <w:r>
        <w:rPr>
          <w:rFonts w:hint="eastAsia" w:ascii="宋体" w:hAnsi="宋体" w:cs="宋体"/>
          <w:sz w:val="28"/>
          <w:szCs w:val="28"/>
        </w:rPr>
        <w:t>在耒阳市东部及中部地区大部为煤层赋存地带，基本无砂石土矿资源（建筑石料用灰岩、建筑用花岗岩、建筑用白云岩、建筑用玄武岩），建筑石料用灰岩主要分布于耒阳市西南部余庆-公平一带及北东的东湖圩镇，余庆街道办事处（扩界矿山数6个）是由原三顺街道办事处、余庆乡、磨形乡三个乡镇街道合并成立，造成余庆街道办事处采矿权设置过于集中。</w:t>
      </w:r>
    </w:p>
    <w:p>
      <w:pPr>
        <w:pStyle w:val="5"/>
        <w:ind w:firstLine="562" w:firstLineChars="200"/>
        <w:rPr>
          <w:rFonts w:hint="default"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(二)开采分区</w:t>
      </w:r>
      <w:bookmarkEnd w:id="13"/>
    </w:p>
    <w:p>
      <w:pPr>
        <w:spacing w:line="560" w:lineRule="exact"/>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1、禁止开采区</w:t>
      </w:r>
    </w:p>
    <w:p>
      <w:pPr>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⑴、国家和省级划定的耒水国家湿地公园及省级的蔡伦故里风景名胜区竹海景域、白龙洞岩溶地貌风景名胜区、汤泉旅游度假区、水利风景区。</w:t>
      </w:r>
    </w:p>
    <w:p>
      <w:pPr>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⑵、国防工程设施区、军事禁区、机场。</w:t>
      </w:r>
    </w:p>
    <w:p>
      <w:pPr>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⑶、关王塘水库保护区、凉水冲水库保护区、饮用水源地保护区（含县级以上地表水集中式饮用水水源保护区）及重要水利设施区。</w:t>
      </w:r>
    </w:p>
    <w:p>
      <w:pPr>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在砂石土矿各开采规划矿区，按要求避开禁采区（见附图规划图）。</w:t>
      </w:r>
    </w:p>
    <w:p>
      <w:pPr>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全市共划定禁止开采区22处，总面积为3</w:t>
      </w:r>
      <w:r>
        <w:rPr>
          <w:rFonts w:hint="eastAsia" w:asciiTheme="minorEastAsia" w:hAnsiTheme="minorEastAsia" w:eastAsiaTheme="minorEastAsia" w:cstheme="minorEastAsia"/>
          <w:sz w:val="28"/>
          <w:szCs w:val="28"/>
          <w:lang w:val="en-US" w:eastAsia="zh-CN"/>
        </w:rPr>
        <w:t>73.459</w:t>
      </w:r>
      <w:r>
        <w:rPr>
          <w:rFonts w:hint="eastAsia" w:asciiTheme="minorEastAsia" w:hAnsiTheme="minorEastAsia" w:eastAsiaTheme="minorEastAsia" w:cstheme="minorEastAsia"/>
          <w:sz w:val="28"/>
          <w:szCs w:val="28"/>
        </w:rPr>
        <w:t>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，详见专栏三，附图现状图。</w:t>
      </w:r>
    </w:p>
    <w:p>
      <w:pPr>
        <w:pStyle w:val="2"/>
        <w:ind w:firstLine="280"/>
        <w:rPr>
          <w:rFonts w:asciiTheme="minorEastAsia" w:hAnsiTheme="minorEastAsia" w:eastAsiaTheme="minorEastAsia" w:cstheme="minorEastAsia"/>
          <w:szCs w:val="28"/>
        </w:rPr>
      </w:pPr>
    </w:p>
    <w:p>
      <w:pPr>
        <w:pStyle w:val="2"/>
        <w:ind w:firstLine="280"/>
        <w:rPr>
          <w:rFonts w:asciiTheme="minorEastAsia" w:hAnsiTheme="minorEastAsia" w:eastAsiaTheme="minorEastAsia" w:cstheme="minorEastAsia"/>
          <w:szCs w:val="28"/>
        </w:rPr>
      </w:pPr>
    </w:p>
    <w:p>
      <w:pPr>
        <w:pStyle w:val="2"/>
        <w:ind w:firstLine="280"/>
        <w:rPr>
          <w:rFonts w:asciiTheme="minorEastAsia" w:hAnsiTheme="minorEastAsia" w:eastAsiaTheme="minorEastAsia" w:cstheme="minorEastAsia"/>
          <w:szCs w:val="28"/>
        </w:rPr>
      </w:pPr>
    </w:p>
    <w:p>
      <w:pPr>
        <w:pStyle w:val="2"/>
        <w:ind w:firstLine="280"/>
        <w:rPr>
          <w:rFonts w:asciiTheme="minorEastAsia" w:hAnsiTheme="minorEastAsia" w:eastAsiaTheme="minorEastAsia" w:cstheme="minorEastAsia"/>
          <w:szCs w:val="28"/>
        </w:rPr>
      </w:pPr>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专栏三                   耒阳市砂石土矿禁止开采区表</w:t>
      </w:r>
    </w:p>
    <w:tbl>
      <w:tblPr>
        <w:tblStyle w:val="18"/>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730"/>
        <w:gridCol w:w="2001"/>
        <w:gridCol w:w="2495"/>
        <w:gridCol w:w="992"/>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序号</w:t>
            </w:r>
          </w:p>
        </w:tc>
        <w:tc>
          <w:tcPr>
            <w:tcW w:w="1730"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图幅</w:t>
            </w:r>
          </w:p>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编号</w:t>
            </w:r>
          </w:p>
        </w:tc>
        <w:tc>
          <w:tcPr>
            <w:tcW w:w="2001"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开采区名称</w:t>
            </w:r>
          </w:p>
        </w:tc>
        <w:tc>
          <w:tcPr>
            <w:tcW w:w="2495"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所在</w:t>
            </w:r>
          </w:p>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位置</w:t>
            </w:r>
          </w:p>
        </w:tc>
        <w:tc>
          <w:tcPr>
            <w:tcW w:w="992"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面积</w:t>
            </w:r>
          </w:p>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（km</w:t>
            </w:r>
            <w:r>
              <w:rPr>
                <w:rFonts w:hint="eastAsia" w:ascii="Arial" w:hAnsi="Arial" w:cs="Arial"/>
                <w:b/>
                <w:sz w:val="18"/>
                <w:szCs w:val="18"/>
                <w:vertAlign w:val="superscript"/>
              </w:rPr>
              <w:t>2</w:t>
            </w:r>
            <w:r>
              <w:rPr>
                <w:rFonts w:hint="eastAsia" w:ascii="Arial" w:hAnsi="Arial" w:cs="Arial"/>
                <w:b/>
                <w:sz w:val="18"/>
                <w:szCs w:val="18"/>
              </w:rPr>
              <w:t>）</w:t>
            </w:r>
          </w:p>
        </w:tc>
        <w:tc>
          <w:tcPr>
            <w:tcW w:w="2006"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禁止内容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w:t>
            </w:r>
          </w:p>
        </w:tc>
        <w:tc>
          <w:tcPr>
            <w:tcW w:w="1730" w:type="dxa"/>
            <w:vAlign w:val="center"/>
          </w:tcPr>
          <w:p>
            <w:pPr>
              <w:spacing w:line="300" w:lineRule="exact"/>
              <w:jc w:val="center"/>
              <w:rPr>
                <w:rFonts w:ascii="Calibri" w:hAnsi="Calibri"/>
              </w:rPr>
            </w:pPr>
            <w:r>
              <w:rPr>
                <w:rFonts w:hint="eastAsia" w:ascii="Calibri" w:hAnsi="Calibri"/>
              </w:rPr>
              <w:t>CJ43048100001</w:t>
            </w:r>
          </w:p>
        </w:tc>
        <w:tc>
          <w:tcPr>
            <w:tcW w:w="2001" w:type="dxa"/>
            <w:vAlign w:val="center"/>
          </w:tcPr>
          <w:p>
            <w:pPr>
              <w:spacing w:line="300" w:lineRule="exact"/>
              <w:rPr>
                <w:rFonts w:ascii="Calibri" w:hAnsi="Calibri"/>
              </w:rPr>
            </w:pPr>
            <w:r>
              <w:rPr>
                <w:rFonts w:hint="eastAsia" w:ascii="Calibri" w:hAnsi="Calibri"/>
              </w:rPr>
              <w:t>五峰仙国家级公益林、关王塘水库保护区禁止开采区</w:t>
            </w:r>
          </w:p>
        </w:tc>
        <w:tc>
          <w:tcPr>
            <w:tcW w:w="2495" w:type="dxa"/>
            <w:vAlign w:val="center"/>
          </w:tcPr>
          <w:p>
            <w:pPr>
              <w:spacing w:line="300" w:lineRule="exact"/>
              <w:rPr>
                <w:rFonts w:ascii="Calibri" w:hAnsi="Calibri"/>
              </w:rPr>
            </w:pPr>
            <w:r>
              <w:rPr>
                <w:rFonts w:hint="eastAsia" w:ascii="Calibri" w:hAnsi="Calibri"/>
              </w:rPr>
              <w:t>亮源乡；导子镇</w:t>
            </w:r>
          </w:p>
        </w:tc>
        <w:tc>
          <w:tcPr>
            <w:tcW w:w="992" w:type="dxa"/>
            <w:vAlign w:val="center"/>
          </w:tcPr>
          <w:p>
            <w:pPr>
              <w:spacing w:line="300" w:lineRule="exact"/>
              <w:jc w:val="center"/>
              <w:rPr>
                <w:rFonts w:ascii="Calibri" w:hAnsi="Calibri"/>
              </w:rPr>
            </w:pPr>
            <w:r>
              <w:rPr>
                <w:rFonts w:hint="eastAsia" w:ascii="Calibri" w:hAnsi="Calibri"/>
              </w:rPr>
              <w:t>24.33</w:t>
            </w:r>
          </w:p>
        </w:tc>
        <w:tc>
          <w:tcPr>
            <w:tcW w:w="2006"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严禁开展不符合功能定位的开发活动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2</w:t>
            </w:r>
          </w:p>
        </w:tc>
        <w:tc>
          <w:tcPr>
            <w:tcW w:w="1730" w:type="dxa"/>
            <w:vAlign w:val="center"/>
          </w:tcPr>
          <w:p>
            <w:pPr>
              <w:spacing w:line="300" w:lineRule="exact"/>
              <w:jc w:val="center"/>
              <w:rPr>
                <w:rFonts w:ascii="Calibri" w:hAnsi="Calibri"/>
              </w:rPr>
            </w:pPr>
            <w:r>
              <w:rPr>
                <w:rFonts w:hint="eastAsia" w:ascii="Calibri" w:hAnsi="Calibri"/>
              </w:rPr>
              <w:t>CJ43048100002</w:t>
            </w:r>
          </w:p>
        </w:tc>
        <w:tc>
          <w:tcPr>
            <w:tcW w:w="2001" w:type="dxa"/>
            <w:vAlign w:val="center"/>
          </w:tcPr>
          <w:p>
            <w:pPr>
              <w:spacing w:line="300" w:lineRule="exact"/>
              <w:rPr>
                <w:rFonts w:ascii="Calibri" w:hAnsi="Calibri"/>
              </w:rPr>
            </w:pPr>
            <w:r>
              <w:rPr>
                <w:rFonts w:hint="eastAsia" w:ascii="Calibri" w:hAnsi="Calibri"/>
              </w:rPr>
              <w:t>白龙洞岩溶地貌风景名胜区禁止开采区</w:t>
            </w:r>
          </w:p>
        </w:tc>
        <w:tc>
          <w:tcPr>
            <w:tcW w:w="2495" w:type="dxa"/>
            <w:vAlign w:val="center"/>
          </w:tcPr>
          <w:p>
            <w:pPr>
              <w:spacing w:line="300" w:lineRule="exact"/>
              <w:rPr>
                <w:rFonts w:ascii="Calibri" w:hAnsi="Calibri"/>
              </w:rPr>
            </w:pPr>
            <w:r>
              <w:rPr>
                <w:rFonts w:hint="eastAsia" w:ascii="Calibri" w:hAnsi="Calibri"/>
              </w:rPr>
              <w:t>东湖圩镇</w:t>
            </w:r>
          </w:p>
        </w:tc>
        <w:tc>
          <w:tcPr>
            <w:tcW w:w="992" w:type="dxa"/>
            <w:vAlign w:val="center"/>
          </w:tcPr>
          <w:p>
            <w:pPr>
              <w:spacing w:line="300" w:lineRule="exact"/>
              <w:jc w:val="center"/>
              <w:rPr>
                <w:rFonts w:ascii="Calibri" w:hAnsi="Calibri"/>
              </w:rPr>
            </w:pPr>
            <w:r>
              <w:rPr>
                <w:rFonts w:hint="eastAsia" w:ascii="Calibri" w:hAnsi="Calibri"/>
              </w:rPr>
              <w:t>11.17</w:t>
            </w:r>
          </w:p>
        </w:tc>
        <w:tc>
          <w:tcPr>
            <w:tcW w:w="2006"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原则上不再新设采矿权，已设采矿权应有序退出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3</w:t>
            </w:r>
          </w:p>
        </w:tc>
        <w:tc>
          <w:tcPr>
            <w:tcW w:w="1730" w:type="dxa"/>
            <w:vAlign w:val="center"/>
          </w:tcPr>
          <w:p>
            <w:pPr>
              <w:spacing w:line="300" w:lineRule="exact"/>
              <w:jc w:val="center"/>
              <w:rPr>
                <w:rFonts w:ascii="Calibri" w:hAnsi="Calibri"/>
              </w:rPr>
            </w:pPr>
            <w:r>
              <w:rPr>
                <w:rFonts w:hint="eastAsia" w:ascii="Calibri" w:hAnsi="Calibri"/>
              </w:rPr>
              <w:t>CJ43048100003</w:t>
            </w:r>
          </w:p>
        </w:tc>
        <w:tc>
          <w:tcPr>
            <w:tcW w:w="2001" w:type="dxa"/>
            <w:vAlign w:val="center"/>
          </w:tcPr>
          <w:p>
            <w:pPr>
              <w:spacing w:line="300" w:lineRule="exact"/>
              <w:rPr>
                <w:rFonts w:ascii="Calibri" w:hAnsi="Calibri"/>
              </w:rPr>
            </w:pPr>
            <w:r>
              <w:rPr>
                <w:rFonts w:hint="eastAsia" w:ascii="Calibri" w:hAnsi="Calibri"/>
              </w:rPr>
              <w:t>凉水冲水库保护区禁止开采区</w:t>
            </w:r>
          </w:p>
        </w:tc>
        <w:tc>
          <w:tcPr>
            <w:tcW w:w="2495" w:type="dxa"/>
            <w:vAlign w:val="center"/>
          </w:tcPr>
          <w:p>
            <w:pPr>
              <w:spacing w:line="300" w:lineRule="exact"/>
              <w:rPr>
                <w:rFonts w:ascii="Calibri" w:hAnsi="Calibri"/>
              </w:rPr>
            </w:pPr>
            <w:r>
              <w:rPr>
                <w:rFonts w:hint="eastAsia" w:ascii="Calibri" w:hAnsi="Calibri"/>
              </w:rPr>
              <w:t>三都镇;东湖圩镇</w:t>
            </w:r>
          </w:p>
        </w:tc>
        <w:tc>
          <w:tcPr>
            <w:tcW w:w="992" w:type="dxa"/>
            <w:vAlign w:val="center"/>
          </w:tcPr>
          <w:p>
            <w:pPr>
              <w:spacing w:line="300" w:lineRule="exact"/>
              <w:jc w:val="center"/>
              <w:rPr>
                <w:rFonts w:ascii="Calibri" w:hAnsi="Calibri"/>
              </w:rPr>
            </w:pPr>
            <w:r>
              <w:rPr>
                <w:rFonts w:hint="eastAsia" w:ascii="Calibri" w:hAnsi="Calibri"/>
              </w:rPr>
              <w:t>17.14</w:t>
            </w:r>
          </w:p>
        </w:tc>
        <w:tc>
          <w:tcPr>
            <w:tcW w:w="2006"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严禁开展不符合功能定位的开发活动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4</w:t>
            </w:r>
          </w:p>
        </w:tc>
        <w:tc>
          <w:tcPr>
            <w:tcW w:w="1730" w:type="dxa"/>
            <w:vAlign w:val="center"/>
          </w:tcPr>
          <w:p>
            <w:pPr>
              <w:spacing w:line="300" w:lineRule="exact"/>
              <w:jc w:val="center"/>
              <w:rPr>
                <w:rFonts w:ascii="Calibri" w:hAnsi="Calibri"/>
              </w:rPr>
            </w:pPr>
            <w:r>
              <w:rPr>
                <w:rFonts w:hint="eastAsia" w:ascii="Calibri" w:hAnsi="Calibri"/>
              </w:rPr>
              <w:t>CJ43048100004</w:t>
            </w:r>
          </w:p>
        </w:tc>
        <w:tc>
          <w:tcPr>
            <w:tcW w:w="2001" w:type="dxa"/>
            <w:vAlign w:val="center"/>
          </w:tcPr>
          <w:p>
            <w:pPr>
              <w:spacing w:line="300" w:lineRule="exact"/>
              <w:rPr>
                <w:rFonts w:ascii="Calibri" w:hAnsi="Calibri"/>
              </w:rPr>
            </w:pPr>
            <w:r>
              <w:rPr>
                <w:rFonts w:hint="eastAsia" w:ascii="Calibri" w:hAnsi="Calibri"/>
              </w:rPr>
              <w:t>汤泉旅游度假区禁止开采区</w:t>
            </w:r>
          </w:p>
        </w:tc>
        <w:tc>
          <w:tcPr>
            <w:tcW w:w="2495" w:type="dxa"/>
            <w:vAlign w:val="center"/>
          </w:tcPr>
          <w:p>
            <w:pPr>
              <w:spacing w:line="300" w:lineRule="exact"/>
              <w:rPr>
                <w:rFonts w:ascii="Calibri" w:hAnsi="Calibri"/>
              </w:rPr>
            </w:pPr>
            <w:r>
              <w:rPr>
                <w:rFonts w:hint="eastAsia" w:ascii="Calibri" w:hAnsi="Calibri"/>
              </w:rPr>
              <w:t>东湖圩镇</w:t>
            </w:r>
          </w:p>
        </w:tc>
        <w:tc>
          <w:tcPr>
            <w:tcW w:w="992" w:type="dxa"/>
            <w:vAlign w:val="center"/>
          </w:tcPr>
          <w:p>
            <w:pPr>
              <w:spacing w:line="300" w:lineRule="exact"/>
              <w:jc w:val="center"/>
              <w:rPr>
                <w:rFonts w:ascii="Calibri" w:hAnsi="Calibri"/>
              </w:rPr>
            </w:pPr>
            <w:r>
              <w:rPr>
                <w:rFonts w:hint="eastAsia" w:ascii="Calibri" w:hAnsi="Calibri"/>
              </w:rPr>
              <w:t>0.98</w:t>
            </w:r>
          </w:p>
        </w:tc>
        <w:tc>
          <w:tcPr>
            <w:tcW w:w="2006"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原则上不再新设采矿权，已设采矿权应有序退出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5</w:t>
            </w:r>
          </w:p>
        </w:tc>
        <w:tc>
          <w:tcPr>
            <w:tcW w:w="1730" w:type="dxa"/>
            <w:vAlign w:val="center"/>
          </w:tcPr>
          <w:p>
            <w:pPr>
              <w:spacing w:line="300" w:lineRule="exact"/>
              <w:jc w:val="center"/>
              <w:rPr>
                <w:rFonts w:ascii="Calibri" w:hAnsi="Calibri"/>
              </w:rPr>
            </w:pPr>
            <w:r>
              <w:rPr>
                <w:rFonts w:hint="eastAsia" w:ascii="Calibri" w:hAnsi="Calibri"/>
              </w:rPr>
              <w:t>CJ43048100005</w:t>
            </w:r>
          </w:p>
        </w:tc>
        <w:tc>
          <w:tcPr>
            <w:tcW w:w="2001" w:type="dxa"/>
            <w:vAlign w:val="center"/>
          </w:tcPr>
          <w:p>
            <w:pPr>
              <w:spacing w:line="300" w:lineRule="exact"/>
              <w:rPr>
                <w:rFonts w:ascii="Calibri" w:hAnsi="Calibri"/>
              </w:rPr>
            </w:pPr>
            <w:r>
              <w:rPr>
                <w:rFonts w:hint="eastAsia" w:ascii="Calibri" w:hAnsi="Calibri"/>
              </w:rPr>
              <w:t>耒阳市中心城区、饮用水源地禁止开采区</w:t>
            </w:r>
          </w:p>
        </w:tc>
        <w:tc>
          <w:tcPr>
            <w:tcW w:w="2495" w:type="dxa"/>
            <w:vAlign w:val="center"/>
          </w:tcPr>
          <w:p>
            <w:pPr>
              <w:spacing w:line="300" w:lineRule="exact"/>
              <w:rPr>
                <w:rFonts w:ascii="Calibri" w:hAnsi="Calibri"/>
              </w:rPr>
            </w:pPr>
            <w:r>
              <w:rPr>
                <w:rFonts w:hint="eastAsia" w:ascii="Calibri" w:hAnsi="Calibri"/>
              </w:rPr>
              <w:t>水东江街道；蔡子池街道；灶市街道；五里牌街道；三架街道；</w:t>
            </w:r>
          </w:p>
        </w:tc>
        <w:tc>
          <w:tcPr>
            <w:tcW w:w="992" w:type="dxa"/>
            <w:vAlign w:val="center"/>
          </w:tcPr>
          <w:p>
            <w:pPr>
              <w:spacing w:line="300" w:lineRule="exact"/>
              <w:jc w:val="center"/>
              <w:rPr>
                <w:rFonts w:ascii="Calibri" w:hAnsi="Calibri"/>
              </w:rPr>
            </w:pPr>
            <w:r>
              <w:rPr>
                <w:rFonts w:hint="eastAsia" w:ascii="Calibri" w:hAnsi="Calibri"/>
              </w:rPr>
              <w:t>65.49</w:t>
            </w:r>
          </w:p>
        </w:tc>
        <w:tc>
          <w:tcPr>
            <w:tcW w:w="2006" w:type="dxa"/>
            <w:vMerge w:val="restart"/>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严禁开展不符合功能定位的开发活动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6</w:t>
            </w:r>
          </w:p>
        </w:tc>
        <w:tc>
          <w:tcPr>
            <w:tcW w:w="1730" w:type="dxa"/>
            <w:vAlign w:val="center"/>
          </w:tcPr>
          <w:p>
            <w:pPr>
              <w:spacing w:line="300" w:lineRule="exact"/>
              <w:jc w:val="center"/>
              <w:rPr>
                <w:rFonts w:ascii="Calibri" w:hAnsi="Calibri"/>
              </w:rPr>
            </w:pPr>
            <w:r>
              <w:rPr>
                <w:rFonts w:hint="eastAsia" w:ascii="Calibri" w:hAnsi="Calibri"/>
              </w:rPr>
              <w:t>CJ43048100006</w:t>
            </w:r>
          </w:p>
        </w:tc>
        <w:tc>
          <w:tcPr>
            <w:tcW w:w="2001" w:type="dxa"/>
            <w:vAlign w:val="center"/>
          </w:tcPr>
          <w:p>
            <w:pPr>
              <w:spacing w:line="300" w:lineRule="exact"/>
              <w:rPr>
                <w:rFonts w:ascii="Calibri" w:hAnsi="Calibri"/>
              </w:rPr>
            </w:pPr>
            <w:r>
              <w:rPr>
                <w:rFonts w:hint="eastAsia" w:ascii="Calibri" w:hAnsi="Calibri"/>
              </w:rPr>
              <w:t>太平水库保护区禁止开采区</w:t>
            </w:r>
          </w:p>
        </w:tc>
        <w:tc>
          <w:tcPr>
            <w:tcW w:w="2495" w:type="dxa"/>
            <w:vAlign w:val="center"/>
          </w:tcPr>
          <w:p>
            <w:pPr>
              <w:spacing w:line="300" w:lineRule="exact"/>
              <w:rPr>
                <w:rFonts w:ascii="Calibri" w:hAnsi="Calibri"/>
              </w:rPr>
            </w:pPr>
            <w:r>
              <w:rPr>
                <w:rFonts w:hint="eastAsia" w:ascii="Calibri" w:hAnsi="Calibri"/>
              </w:rPr>
              <w:t>太平圩乡</w:t>
            </w:r>
          </w:p>
        </w:tc>
        <w:tc>
          <w:tcPr>
            <w:tcW w:w="992" w:type="dxa"/>
            <w:vAlign w:val="center"/>
          </w:tcPr>
          <w:p>
            <w:pPr>
              <w:spacing w:line="300" w:lineRule="exact"/>
              <w:jc w:val="center"/>
              <w:rPr>
                <w:rFonts w:ascii="Calibri" w:hAnsi="Calibri"/>
              </w:rPr>
            </w:pPr>
            <w:r>
              <w:rPr>
                <w:rFonts w:hint="eastAsia" w:ascii="Calibri" w:hAnsi="Calibri"/>
              </w:rPr>
              <w:t>9.33</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7</w:t>
            </w:r>
          </w:p>
        </w:tc>
        <w:tc>
          <w:tcPr>
            <w:tcW w:w="1730" w:type="dxa"/>
            <w:vAlign w:val="center"/>
          </w:tcPr>
          <w:p>
            <w:pPr>
              <w:spacing w:line="300" w:lineRule="exact"/>
              <w:jc w:val="center"/>
              <w:rPr>
                <w:rFonts w:ascii="Calibri" w:hAnsi="Calibri"/>
              </w:rPr>
            </w:pPr>
            <w:r>
              <w:rPr>
                <w:rFonts w:hint="eastAsia" w:ascii="Calibri" w:hAnsi="Calibri"/>
              </w:rPr>
              <w:t>CJ43048100007</w:t>
            </w:r>
          </w:p>
        </w:tc>
        <w:tc>
          <w:tcPr>
            <w:tcW w:w="2001" w:type="dxa"/>
            <w:vAlign w:val="center"/>
          </w:tcPr>
          <w:p>
            <w:pPr>
              <w:spacing w:line="300" w:lineRule="exact"/>
              <w:rPr>
                <w:rFonts w:ascii="Calibri" w:hAnsi="Calibri"/>
              </w:rPr>
            </w:pPr>
            <w:r>
              <w:rPr>
                <w:rFonts w:hint="eastAsia" w:ascii="Calibri" w:hAnsi="Calibri"/>
              </w:rPr>
              <w:t>耒水国家湿地公园禁止开采区</w:t>
            </w:r>
          </w:p>
        </w:tc>
        <w:tc>
          <w:tcPr>
            <w:tcW w:w="2495" w:type="dxa"/>
            <w:vAlign w:val="center"/>
          </w:tcPr>
          <w:p>
            <w:pPr>
              <w:spacing w:line="300" w:lineRule="exact"/>
              <w:rPr>
                <w:rFonts w:ascii="Calibri" w:hAnsi="Calibri"/>
              </w:rPr>
            </w:pPr>
            <w:r>
              <w:rPr>
                <w:rFonts w:hint="eastAsia" w:ascii="Calibri" w:hAnsi="Calibri"/>
              </w:rPr>
              <w:t>永济镇；淝田镇；遥田镇；新市镇；大市镇；三架街道；水东江街道；灶市街道；黄市镇；南阳镇； 大义镇</w:t>
            </w:r>
          </w:p>
        </w:tc>
        <w:tc>
          <w:tcPr>
            <w:tcW w:w="992" w:type="dxa"/>
            <w:vAlign w:val="center"/>
          </w:tcPr>
          <w:p>
            <w:pPr>
              <w:spacing w:line="300" w:lineRule="exact"/>
              <w:jc w:val="center"/>
              <w:rPr>
                <w:rFonts w:ascii="Calibri" w:hAnsi="Calibri"/>
              </w:rPr>
            </w:pPr>
            <w:r>
              <w:rPr>
                <w:rFonts w:hint="eastAsia" w:ascii="Calibri" w:hAnsi="Calibri"/>
              </w:rPr>
              <w:t>38.86</w:t>
            </w:r>
          </w:p>
        </w:tc>
        <w:tc>
          <w:tcPr>
            <w:tcW w:w="2006"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原则上不再新设采矿权，已设采矿权应有序退出。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color w:val="auto"/>
                <w:kern w:val="2"/>
                <w:sz w:val="21"/>
              </w:rPr>
            </w:pPr>
            <w:r>
              <w:rPr>
                <w:rFonts w:hint="eastAsia" w:ascii="Calibri" w:hAnsi="Calibri"/>
                <w:color w:val="auto"/>
                <w:kern w:val="2"/>
                <w:sz w:val="21"/>
              </w:rPr>
              <w:t>8</w:t>
            </w:r>
          </w:p>
        </w:tc>
        <w:tc>
          <w:tcPr>
            <w:tcW w:w="1730" w:type="dxa"/>
            <w:vAlign w:val="center"/>
          </w:tcPr>
          <w:p>
            <w:pPr>
              <w:spacing w:line="300" w:lineRule="exact"/>
              <w:rPr>
                <w:rFonts w:ascii="Calibri" w:hAnsi="Calibri"/>
                <w:color w:val="auto"/>
              </w:rPr>
            </w:pPr>
            <w:r>
              <w:rPr>
                <w:rFonts w:hint="eastAsia" w:ascii="Calibri" w:hAnsi="Calibri"/>
                <w:color w:val="auto"/>
              </w:rPr>
              <w:t>CJ43048100008</w:t>
            </w:r>
          </w:p>
        </w:tc>
        <w:tc>
          <w:tcPr>
            <w:tcW w:w="2001" w:type="dxa"/>
            <w:vAlign w:val="center"/>
          </w:tcPr>
          <w:p>
            <w:pPr>
              <w:spacing w:line="300" w:lineRule="exact"/>
              <w:rPr>
                <w:rFonts w:ascii="Calibri" w:hAnsi="Calibri"/>
                <w:color w:val="auto"/>
              </w:rPr>
            </w:pPr>
            <w:r>
              <w:rPr>
                <w:rFonts w:hint="eastAsia" w:ascii="Calibri" w:hAnsi="Calibri"/>
                <w:color w:val="auto"/>
              </w:rPr>
              <w:t>蔡伦故里风景名胜区竹海景域禁止开采区</w:t>
            </w:r>
          </w:p>
        </w:tc>
        <w:tc>
          <w:tcPr>
            <w:tcW w:w="2495" w:type="dxa"/>
            <w:vAlign w:val="center"/>
          </w:tcPr>
          <w:p>
            <w:pPr>
              <w:spacing w:line="300" w:lineRule="exact"/>
              <w:rPr>
                <w:rFonts w:ascii="Calibri" w:hAnsi="Calibri"/>
                <w:color w:val="auto"/>
              </w:rPr>
            </w:pPr>
            <w:r>
              <w:rPr>
                <w:rFonts w:hint="eastAsia" w:ascii="Calibri" w:hAnsi="Calibri"/>
                <w:color w:val="auto"/>
              </w:rPr>
              <w:t>黄市镇；公平镇；大义镇；南阳镇</w:t>
            </w:r>
          </w:p>
        </w:tc>
        <w:tc>
          <w:tcPr>
            <w:tcW w:w="992" w:type="dxa"/>
            <w:vAlign w:val="center"/>
          </w:tcPr>
          <w:p>
            <w:pPr>
              <w:spacing w:line="300" w:lineRule="exact"/>
              <w:jc w:val="center"/>
              <w:rPr>
                <w:rFonts w:hint="default" w:ascii="Calibri" w:hAnsi="Calibri" w:eastAsia="宋体"/>
                <w:color w:val="auto"/>
                <w:lang w:val="en-US" w:eastAsia="zh-CN"/>
              </w:rPr>
            </w:pPr>
            <w:r>
              <w:rPr>
                <w:rFonts w:hint="eastAsia" w:ascii="Calibri" w:hAnsi="Calibri"/>
                <w:color w:val="auto"/>
                <w:lang w:val="en-US" w:eastAsia="zh-CN"/>
              </w:rPr>
              <w:t>119.33</w:t>
            </w:r>
          </w:p>
        </w:tc>
        <w:tc>
          <w:tcPr>
            <w:tcW w:w="2006" w:type="dxa"/>
            <w:vAlign w:val="center"/>
          </w:tcPr>
          <w:p>
            <w:pPr>
              <w:pStyle w:val="15"/>
              <w:widowControl/>
              <w:wordWrap w:val="0"/>
              <w:spacing w:beforeAutospacing="0" w:afterAutospacing="0"/>
              <w:jc w:val="center"/>
              <w:rPr>
                <w:rFonts w:ascii="Calibri" w:hAnsi="Calibri"/>
                <w:color w:val="auto"/>
                <w:kern w:val="2"/>
                <w:sz w:val="21"/>
              </w:rPr>
            </w:pPr>
            <w:r>
              <w:rPr>
                <w:rFonts w:hint="eastAsia" w:ascii="Calibri" w:hAnsi="Calibri"/>
                <w:color w:val="auto"/>
                <w:kern w:val="2"/>
                <w:sz w:val="21"/>
              </w:rPr>
              <w:t>不得开展不符合功能定位的开发活动；区内采矿权的新设、延续、调整和保留，须征得所涉及保护区的主管部门同意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9</w:t>
            </w:r>
          </w:p>
        </w:tc>
        <w:tc>
          <w:tcPr>
            <w:tcW w:w="1730" w:type="dxa"/>
            <w:vAlign w:val="center"/>
          </w:tcPr>
          <w:p>
            <w:pPr>
              <w:spacing w:line="300" w:lineRule="exact"/>
              <w:rPr>
                <w:rFonts w:ascii="Calibri" w:hAnsi="Calibri"/>
              </w:rPr>
            </w:pPr>
            <w:r>
              <w:rPr>
                <w:rFonts w:hint="eastAsia" w:ascii="Calibri" w:hAnsi="Calibri"/>
              </w:rPr>
              <w:t>CJ4304810009</w:t>
            </w:r>
          </w:p>
        </w:tc>
        <w:tc>
          <w:tcPr>
            <w:tcW w:w="2001" w:type="dxa"/>
            <w:vAlign w:val="center"/>
          </w:tcPr>
          <w:p>
            <w:pPr>
              <w:spacing w:line="300" w:lineRule="exact"/>
              <w:rPr>
                <w:rFonts w:ascii="Calibri" w:hAnsi="Calibri"/>
              </w:rPr>
            </w:pPr>
            <w:r>
              <w:rPr>
                <w:rFonts w:hint="eastAsia" w:ascii="Calibri" w:hAnsi="Calibri"/>
              </w:rPr>
              <w:t>湘江流域一级支流舂陵水禁止开采区</w:t>
            </w:r>
          </w:p>
        </w:tc>
        <w:tc>
          <w:tcPr>
            <w:tcW w:w="2495" w:type="dxa"/>
            <w:vAlign w:val="center"/>
          </w:tcPr>
          <w:p>
            <w:pPr>
              <w:spacing w:line="300" w:lineRule="exact"/>
              <w:rPr>
                <w:rFonts w:ascii="Calibri" w:hAnsi="Calibri"/>
              </w:rPr>
            </w:pPr>
            <w:r>
              <w:rPr>
                <w:rFonts w:hint="eastAsia" w:ascii="Calibri" w:hAnsi="Calibri"/>
              </w:rPr>
              <w:t>大和圩镇；坛下镇、哲桥镇、南京镇、仁义镇</w:t>
            </w:r>
          </w:p>
        </w:tc>
        <w:tc>
          <w:tcPr>
            <w:tcW w:w="992" w:type="dxa"/>
            <w:vAlign w:val="center"/>
          </w:tcPr>
          <w:p>
            <w:pPr>
              <w:spacing w:line="300" w:lineRule="exact"/>
              <w:jc w:val="center"/>
              <w:rPr>
                <w:rFonts w:ascii="Calibri" w:hAnsi="Calibri"/>
              </w:rPr>
            </w:pPr>
            <w:r>
              <w:rPr>
                <w:rFonts w:hint="eastAsia" w:ascii="Calibri" w:hAnsi="Calibri"/>
              </w:rPr>
              <w:t>19.88</w:t>
            </w:r>
          </w:p>
        </w:tc>
        <w:tc>
          <w:tcPr>
            <w:tcW w:w="2006" w:type="dxa"/>
            <w:vMerge w:val="restart"/>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严禁开展不符合功能定位的开发活动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10</w:t>
            </w:r>
          </w:p>
        </w:tc>
        <w:tc>
          <w:tcPr>
            <w:tcW w:w="1730" w:type="dxa"/>
            <w:vAlign w:val="center"/>
          </w:tcPr>
          <w:p>
            <w:pPr>
              <w:spacing w:line="300" w:lineRule="exact"/>
              <w:rPr>
                <w:rFonts w:ascii="Calibri" w:hAnsi="Calibri"/>
              </w:rPr>
            </w:pPr>
            <w:r>
              <w:rPr>
                <w:rFonts w:hint="eastAsia" w:ascii="Calibri" w:hAnsi="Calibri"/>
              </w:rPr>
              <w:t>CJ430481000010</w:t>
            </w:r>
          </w:p>
        </w:tc>
        <w:tc>
          <w:tcPr>
            <w:tcW w:w="2001" w:type="dxa"/>
            <w:vAlign w:val="center"/>
          </w:tcPr>
          <w:p>
            <w:pPr>
              <w:spacing w:line="300" w:lineRule="exact"/>
              <w:rPr>
                <w:rFonts w:ascii="Calibri" w:hAnsi="Calibri"/>
              </w:rPr>
            </w:pPr>
            <w:r>
              <w:rPr>
                <w:rFonts w:hint="eastAsia" w:ascii="Calibri" w:hAnsi="Calibri"/>
              </w:rPr>
              <w:t>湘江流域一级支流耒水禁止开采区</w:t>
            </w:r>
          </w:p>
        </w:tc>
        <w:tc>
          <w:tcPr>
            <w:tcW w:w="2495" w:type="dxa"/>
            <w:vAlign w:val="center"/>
          </w:tcPr>
          <w:p>
            <w:pPr>
              <w:spacing w:line="300" w:lineRule="exact"/>
              <w:rPr>
                <w:rFonts w:ascii="Calibri" w:hAnsi="Calibri"/>
              </w:rPr>
            </w:pPr>
            <w:r>
              <w:rPr>
                <w:rFonts w:hint="eastAsia" w:ascii="Calibri" w:hAnsi="Calibri"/>
              </w:rPr>
              <w:t>永济镇；淝田镇；遥田镇；新市镇；大市镇；三架街道；蔡子池街道；灶市街道；水东江街道；黄市镇；南阳镇；大义镇</w:t>
            </w:r>
          </w:p>
        </w:tc>
        <w:tc>
          <w:tcPr>
            <w:tcW w:w="992" w:type="dxa"/>
            <w:vAlign w:val="center"/>
          </w:tcPr>
          <w:p>
            <w:pPr>
              <w:spacing w:line="300" w:lineRule="exact"/>
              <w:jc w:val="center"/>
              <w:rPr>
                <w:rFonts w:ascii="Calibri" w:hAnsi="Calibri"/>
              </w:rPr>
            </w:pPr>
            <w:r>
              <w:rPr>
                <w:rFonts w:hint="eastAsia" w:ascii="Calibri" w:hAnsi="Calibri"/>
              </w:rPr>
              <w:t>64.45</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11</w:t>
            </w:r>
          </w:p>
        </w:tc>
        <w:tc>
          <w:tcPr>
            <w:tcW w:w="1730" w:type="dxa"/>
            <w:vAlign w:val="center"/>
          </w:tcPr>
          <w:p>
            <w:pPr>
              <w:spacing w:line="300" w:lineRule="exact"/>
              <w:rPr>
                <w:rFonts w:ascii="Calibri" w:hAnsi="Calibri"/>
              </w:rPr>
            </w:pPr>
            <w:r>
              <w:rPr>
                <w:rFonts w:hint="eastAsia" w:ascii="Calibri" w:hAnsi="Calibri"/>
              </w:rPr>
              <w:t>CJ430481000011</w:t>
            </w:r>
          </w:p>
        </w:tc>
        <w:tc>
          <w:tcPr>
            <w:tcW w:w="2001" w:type="dxa"/>
            <w:vAlign w:val="center"/>
          </w:tcPr>
          <w:p>
            <w:pPr>
              <w:spacing w:line="300" w:lineRule="exact"/>
              <w:rPr>
                <w:rFonts w:ascii="Calibri" w:hAnsi="Calibri"/>
              </w:rPr>
            </w:pPr>
            <w:r>
              <w:rPr>
                <w:rFonts w:hint="eastAsia" w:ascii="Calibri" w:hAnsi="Calibri"/>
              </w:rPr>
              <w:t>耒阳市三都镇地下水饮用水水源保护区</w:t>
            </w:r>
          </w:p>
        </w:tc>
        <w:tc>
          <w:tcPr>
            <w:tcW w:w="2495" w:type="dxa"/>
            <w:vAlign w:val="center"/>
          </w:tcPr>
          <w:p>
            <w:pPr>
              <w:spacing w:line="300" w:lineRule="exact"/>
              <w:rPr>
                <w:rFonts w:ascii="Calibri" w:hAnsi="Calibri"/>
              </w:rPr>
            </w:pPr>
            <w:r>
              <w:rPr>
                <w:rFonts w:hint="eastAsia" w:ascii="Calibri" w:hAnsi="Calibri"/>
              </w:rPr>
              <w:t>耒阳市三都镇</w:t>
            </w:r>
          </w:p>
        </w:tc>
        <w:tc>
          <w:tcPr>
            <w:tcW w:w="992" w:type="dxa"/>
            <w:vAlign w:val="center"/>
          </w:tcPr>
          <w:p>
            <w:pPr>
              <w:spacing w:line="300" w:lineRule="exact"/>
              <w:jc w:val="center"/>
              <w:rPr>
                <w:rFonts w:ascii="Calibri" w:hAnsi="Calibri"/>
              </w:rPr>
            </w:pPr>
            <w:r>
              <w:rPr>
                <w:rFonts w:hint="eastAsia" w:ascii="Calibri" w:hAnsi="Calibri"/>
              </w:rPr>
              <w:t>0.059</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bl>
    <w:p>
      <w:r>
        <w:rPr>
          <w:rFonts w:hint="eastAsia"/>
        </w:rPr>
        <w:t>`</w:t>
      </w:r>
    </w:p>
    <w:tbl>
      <w:tblPr>
        <w:tblStyle w:val="18"/>
        <w:tblW w:w="97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1730"/>
        <w:gridCol w:w="2001"/>
        <w:gridCol w:w="2495"/>
        <w:gridCol w:w="992"/>
        <w:gridCol w:w="2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序号</w:t>
            </w:r>
          </w:p>
        </w:tc>
        <w:tc>
          <w:tcPr>
            <w:tcW w:w="1730"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图幅</w:t>
            </w:r>
          </w:p>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编号</w:t>
            </w:r>
          </w:p>
        </w:tc>
        <w:tc>
          <w:tcPr>
            <w:tcW w:w="2001"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开采区名称</w:t>
            </w:r>
          </w:p>
        </w:tc>
        <w:tc>
          <w:tcPr>
            <w:tcW w:w="2495"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所在</w:t>
            </w:r>
          </w:p>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位置</w:t>
            </w:r>
          </w:p>
        </w:tc>
        <w:tc>
          <w:tcPr>
            <w:tcW w:w="992"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面积</w:t>
            </w:r>
          </w:p>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（km</w:t>
            </w:r>
            <w:r>
              <w:rPr>
                <w:rFonts w:hint="eastAsia" w:ascii="Arial" w:hAnsi="Arial" w:cs="Arial"/>
                <w:b/>
                <w:sz w:val="18"/>
                <w:szCs w:val="18"/>
                <w:vertAlign w:val="superscript"/>
              </w:rPr>
              <w:t>2</w:t>
            </w:r>
            <w:r>
              <w:rPr>
                <w:rFonts w:hint="eastAsia" w:ascii="Arial" w:hAnsi="Arial" w:cs="Arial"/>
                <w:b/>
                <w:sz w:val="18"/>
                <w:szCs w:val="18"/>
              </w:rPr>
              <w:t>）</w:t>
            </w:r>
          </w:p>
        </w:tc>
        <w:tc>
          <w:tcPr>
            <w:tcW w:w="2006" w:type="dxa"/>
            <w:vAlign w:val="center"/>
          </w:tcPr>
          <w:p>
            <w:pPr>
              <w:pStyle w:val="15"/>
              <w:widowControl/>
              <w:spacing w:beforeAutospacing="0" w:afterAutospacing="0"/>
              <w:jc w:val="center"/>
              <w:rPr>
                <w:rFonts w:ascii="Arial" w:hAnsi="Arial" w:cs="Arial"/>
                <w:b/>
                <w:sz w:val="18"/>
                <w:szCs w:val="18"/>
              </w:rPr>
            </w:pPr>
            <w:r>
              <w:rPr>
                <w:rFonts w:hint="eastAsia" w:ascii="Arial" w:hAnsi="Arial" w:cs="Arial"/>
                <w:b/>
                <w:sz w:val="18"/>
                <w:szCs w:val="18"/>
              </w:rPr>
              <w:t>禁止内容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12</w:t>
            </w:r>
          </w:p>
        </w:tc>
        <w:tc>
          <w:tcPr>
            <w:tcW w:w="1730" w:type="dxa"/>
            <w:vAlign w:val="center"/>
          </w:tcPr>
          <w:p>
            <w:pPr>
              <w:spacing w:line="300" w:lineRule="exact"/>
              <w:rPr>
                <w:rFonts w:ascii="Calibri" w:hAnsi="Calibri"/>
              </w:rPr>
            </w:pPr>
            <w:r>
              <w:rPr>
                <w:rFonts w:hint="eastAsia" w:ascii="Calibri" w:hAnsi="Calibri"/>
              </w:rPr>
              <w:t>CJ430481000012</w:t>
            </w:r>
          </w:p>
        </w:tc>
        <w:tc>
          <w:tcPr>
            <w:tcW w:w="2001" w:type="dxa"/>
            <w:vAlign w:val="center"/>
          </w:tcPr>
          <w:p>
            <w:pPr>
              <w:spacing w:line="300" w:lineRule="exact"/>
              <w:rPr>
                <w:rFonts w:ascii="Calibri" w:hAnsi="Calibri"/>
              </w:rPr>
            </w:pPr>
            <w:r>
              <w:rPr>
                <w:rFonts w:hint="eastAsia" w:ascii="Calibri" w:hAnsi="Calibri"/>
              </w:rPr>
              <w:t>耒阳市马水镇地下水饮用水水源保护区</w:t>
            </w:r>
          </w:p>
        </w:tc>
        <w:tc>
          <w:tcPr>
            <w:tcW w:w="2495" w:type="dxa"/>
            <w:vAlign w:val="center"/>
          </w:tcPr>
          <w:p>
            <w:pPr>
              <w:spacing w:line="300" w:lineRule="exact"/>
              <w:rPr>
                <w:rFonts w:ascii="Calibri" w:hAnsi="Calibri"/>
              </w:rPr>
            </w:pPr>
            <w:r>
              <w:rPr>
                <w:rFonts w:hint="eastAsia" w:ascii="Calibri" w:hAnsi="Calibri"/>
              </w:rPr>
              <w:t>耒阳市马水镇</w:t>
            </w:r>
          </w:p>
        </w:tc>
        <w:tc>
          <w:tcPr>
            <w:tcW w:w="992" w:type="dxa"/>
            <w:vAlign w:val="center"/>
          </w:tcPr>
          <w:p>
            <w:pPr>
              <w:spacing w:line="300" w:lineRule="exact"/>
              <w:jc w:val="center"/>
              <w:rPr>
                <w:rFonts w:ascii="Calibri" w:hAnsi="Calibri"/>
              </w:rPr>
            </w:pPr>
            <w:r>
              <w:rPr>
                <w:rFonts w:hint="eastAsia" w:ascii="Calibri" w:hAnsi="Calibri"/>
              </w:rPr>
              <w:t>0.056</w:t>
            </w:r>
          </w:p>
        </w:tc>
        <w:tc>
          <w:tcPr>
            <w:tcW w:w="2006" w:type="dxa"/>
            <w:vMerge w:val="restart"/>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严禁开展不符合功能定位的开发活动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13</w:t>
            </w:r>
          </w:p>
        </w:tc>
        <w:tc>
          <w:tcPr>
            <w:tcW w:w="1730" w:type="dxa"/>
            <w:vAlign w:val="center"/>
          </w:tcPr>
          <w:p>
            <w:pPr>
              <w:spacing w:line="300" w:lineRule="exact"/>
              <w:rPr>
                <w:rFonts w:ascii="Calibri" w:hAnsi="Calibri"/>
              </w:rPr>
            </w:pPr>
            <w:r>
              <w:rPr>
                <w:rFonts w:hint="eastAsia" w:ascii="Calibri" w:hAnsi="Calibri"/>
              </w:rPr>
              <w:t>CJ430481000013</w:t>
            </w:r>
          </w:p>
        </w:tc>
        <w:tc>
          <w:tcPr>
            <w:tcW w:w="2001" w:type="dxa"/>
            <w:vAlign w:val="center"/>
          </w:tcPr>
          <w:p>
            <w:pPr>
              <w:spacing w:line="300" w:lineRule="exact"/>
              <w:rPr>
                <w:rFonts w:ascii="Calibri" w:hAnsi="Calibri"/>
              </w:rPr>
            </w:pPr>
            <w:r>
              <w:rPr>
                <w:rFonts w:hint="eastAsia" w:ascii="Calibri" w:hAnsi="Calibri"/>
              </w:rPr>
              <w:t>耒阳市余庆街道地下水饮用水水源保护区</w:t>
            </w:r>
          </w:p>
        </w:tc>
        <w:tc>
          <w:tcPr>
            <w:tcW w:w="2495" w:type="dxa"/>
            <w:vAlign w:val="center"/>
          </w:tcPr>
          <w:p>
            <w:pPr>
              <w:spacing w:line="300" w:lineRule="exact"/>
              <w:rPr>
                <w:rFonts w:ascii="Calibri" w:hAnsi="Calibri"/>
              </w:rPr>
            </w:pPr>
            <w:r>
              <w:rPr>
                <w:rFonts w:hint="eastAsia" w:ascii="Calibri" w:hAnsi="Calibri"/>
              </w:rPr>
              <w:t>耒阳市余庆街道</w:t>
            </w:r>
          </w:p>
        </w:tc>
        <w:tc>
          <w:tcPr>
            <w:tcW w:w="992" w:type="dxa"/>
            <w:vAlign w:val="center"/>
          </w:tcPr>
          <w:p>
            <w:pPr>
              <w:spacing w:line="300" w:lineRule="exact"/>
              <w:jc w:val="center"/>
              <w:rPr>
                <w:rFonts w:ascii="Calibri" w:hAnsi="Calibri"/>
              </w:rPr>
            </w:pPr>
            <w:r>
              <w:rPr>
                <w:rFonts w:hint="eastAsia" w:ascii="Calibri" w:hAnsi="Calibri"/>
              </w:rPr>
              <w:t>0.052</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14</w:t>
            </w:r>
          </w:p>
        </w:tc>
        <w:tc>
          <w:tcPr>
            <w:tcW w:w="1730" w:type="dxa"/>
            <w:vAlign w:val="center"/>
          </w:tcPr>
          <w:p>
            <w:pPr>
              <w:spacing w:line="300" w:lineRule="exact"/>
              <w:rPr>
                <w:rFonts w:ascii="Calibri" w:hAnsi="Calibri"/>
              </w:rPr>
            </w:pPr>
            <w:r>
              <w:rPr>
                <w:rFonts w:hint="eastAsia" w:ascii="Calibri" w:hAnsi="Calibri"/>
              </w:rPr>
              <w:t>CJ430481000014</w:t>
            </w:r>
          </w:p>
        </w:tc>
        <w:tc>
          <w:tcPr>
            <w:tcW w:w="2001" w:type="dxa"/>
            <w:vAlign w:val="center"/>
          </w:tcPr>
          <w:p>
            <w:pPr>
              <w:spacing w:line="300" w:lineRule="exact"/>
              <w:rPr>
                <w:rFonts w:ascii="Calibri" w:hAnsi="Calibri"/>
              </w:rPr>
            </w:pPr>
            <w:r>
              <w:rPr>
                <w:rFonts w:hint="eastAsia" w:ascii="Calibri" w:hAnsi="Calibri"/>
              </w:rPr>
              <w:t>耒阳市哲桥镇地下水饮用水水源保护区</w:t>
            </w:r>
          </w:p>
        </w:tc>
        <w:tc>
          <w:tcPr>
            <w:tcW w:w="2495" w:type="dxa"/>
            <w:vAlign w:val="center"/>
          </w:tcPr>
          <w:p>
            <w:pPr>
              <w:spacing w:line="300" w:lineRule="exact"/>
              <w:rPr>
                <w:rFonts w:ascii="Calibri" w:hAnsi="Calibri"/>
              </w:rPr>
            </w:pPr>
            <w:r>
              <w:rPr>
                <w:rFonts w:hint="eastAsia" w:ascii="Calibri" w:hAnsi="Calibri"/>
              </w:rPr>
              <w:t xml:space="preserve">耒阳市哲桥镇 </w:t>
            </w:r>
          </w:p>
        </w:tc>
        <w:tc>
          <w:tcPr>
            <w:tcW w:w="992" w:type="dxa"/>
            <w:vAlign w:val="center"/>
          </w:tcPr>
          <w:p>
            <w:pPr>
              <w:spacing w:line="300" w:lineRule="exact"/>
              <w:jc w:val="center"/>
              <w:rPr>
                <w:rFonts w:ascii="Calibri" w:hAnsi="Calibri"/>
              </w:rPr>
            </w:pPr>
            <w:r>
              <w:rPr>
                <w:rFonts w:hint="eastAsia" w:ascii="Calibri" w:hAnsi="Calibri"/>
              </w:rPr>
              <w:t>0.003</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9"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15</w:t>
            </w:r>
          </w:p>
        </w:tc>
        <w:tc>
          <w:tcPr>
            <w:tcW w:w="1730" w:type="dxa"/>
            <w:vAlign w:val="center"/>
          </w:tcPr>
          <w:p>
            <w:pPr>
              <w:spacing w:line="300" w:lineRule="exact"/>
              <w:rPr>
                <w:rFonts w:ascii="Calibri" w:hAnsi="Calibri"/>
              </w:rPr>
            </w:pPr>
            <w:r>
              <w:rPr>
                <w:rFonts w:hint="eastAsia" w:ascii="Calibri" w:hAnsi="Calibri"/>
              </w:rPr>
              <w:t>CJ430481000015</w:t>
            </w:r>
          </w:p>
        </w:tc>
        <w:tc>
          <w:tcPr>
            <w:tcW w:w="2001" w:type="dxa"/>
            <w:vAlign w:val="center"/>
          </w:tcPr>
          <w:p>
            <w:pPr>
              <w:spacing w:line="300" w:lineRule="exact"/>
              <w:rPr>
                <w:rFonts w:ascii="Calibri" w:hAnsi="Calibri"/>
              </w:rPr>
            </w:pPr>
            <w:r>
              <w:rPr>
                <w:rFonts w:hint="eastAsia" w:ascii="Calibri" w:hAnsi="Calibri"/>
              </w:rPr>
              <w:t>耒阳市新市镇耒水饮用水水源保护区</w:t>
            </w:r>
          </w:p>
        </w:tc>
        <w:tc>
          <w:tcPr>
            <w:tcW w:w="2495" w:type="dxa"/>
            <w:vAlign w:val="center"/>
          </w:tcPr>
          <w:p>
            <w:pPr>
              <w:spacing w:line="300" w:lineRule="exact"/>
              <w:rPr>
                <w:rFonts w:ascii="Calibri" w:hAnsi="Calibri"/>
              </w:rPr>
            </w:pPr>
            <w:r>
              <w:rPr>
                <w:rFonts w:hint="eastAsia" w:ascii="Calibri" w:hAnsi="Calibri"/>
              </w:rPr>
              <w:t xml:space="preserve">耒阳市新市镇 </w:t>
            </w:r>
          </w:p>
        </w:tc>
        <w:tc>
          <w:tcPr>
            <w:tcW w:w="992" w:type="dxa"/>
            <w:vAlign w:val="center"/>
          </w:tcPr>
          <w:p>
            <w:pPr>
              <w:spacing w:line="300" w:lineRule="exact"/>
              <w:jc w:val="center"/>
              <w:rPr>
                <w:rFonts w:ascii="Calibri" w:hAnsi="Calibri"/>
              </w:rPr>
            </w:pPr>
            <w:r>
              <w:rPr>
                <w:rFonts w:hint="eastAsia" w:ascii="Calibri" w:hAnsi="Calibri"/>
              </w:rPr>
              <w:t>0.36</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16</w:t>
            </w:r>
          </w:p>
        </w:tc>
        <w:tc>
          <w:tcPr>
            <w:tcW w:w="1730" w:type="dxa"/>
            <w:vAlign w:val="center"/>
          </w:tcPr>
          <w:p>
            <w:pPr>
              <w:spacing w:line="300" w:lineRule="exact"/>
              <w:rPr>
                <w:rFonts w:ascii="Calibri" w:hAnsi="Calibri"/>
              </w:rPr>
            </w:pPr>
            <w:r>
              <w:rPr>
                <w:rFonts w:hint="eastAsia" w:ascii="Calibri" w:hAnsi="Calibri"/>
              </w:rPr>
              <w:t>CJ430481000016</w:t>
            </w:r>
          </w:p>
        </w:tc>
        <w:tc>
          <w:tcPr>
            <w:tcW w:w="2001" w:type="dxa"/>
            <w:vAlign w:val="center"/>
          </w:tcPr>
          <w:p>
            <w:pPr>
              <w:spacing w:line="300" w:lineRule="exact"/>
              <w:rPr>
                <w:rFonts w:ascii="Calibri" w:hAnsi="Calibri"/>
              </w:rPr>
            </w:pPr>
            <w:r>
              <w:rPr>
                <w:rFonts w:hint="eastAsia" w:ascii="Calibri" w:hAnsi="Calibri"/>
              </w:rPr>
              <w:t>耒阳市遥田镇耒水饮用水水源保护区</w:t>
            </w:r>
          </w:p>
        </w:tc>
        <w:tc>
          <w:tcPr>
            <w:tcW w:w="2495" w:type="dxa"/>
            <w:vAlign w:val="center"/>
          </w:tcPr>
          <w:p>
            <w:pPr>
              <w:spacing w:line="300" w:lineRule="exact"/>
              <w:rPr>
                <w:rFonts w:ascii="Calibri" w:hAnsi="Calibri"/>
              </w:rPr>
            </w:pPr>
            <w:r>
              <w:rPr>
                <w:rFonts w:hint="eastAsia" w:ascii="Calibri" w:hAnsi="Calibri"/>
              </w:rPr>
              <w:t xml:space="preserve">耒阳市遥田镇 </w:t>
            </w:r>
          </w:p>
        </w:tc>
        <w:tc>
          <w:tcPr>
            <w:tcW w:w="992" w:type="dxa"/>
            <w:vAlign w:val="center"/>
          </w:tcPr>
          <w:p>
            <w:pPr>
              <w:spacing w:line="300" w:lineRule="exact"/>
              <w:jc w:val="center"/>
              <w:rPr>
                <w:rFonts w:ascii="Calibri" w:hAnsi="Calibri"/>
              </w:rPr>
            </w:pPr>
            <w:r>
              <w:rPr>
                <w:rFonts w:hint="eastAsia" w:ascii="Calibri" w:hAnsi="Calibri"/>
              </w:rPr>
              <w:t>0.385</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17</w:t>
            </w:r>
          </w:p>
        </w:tc>
        <w:tc>
          <w:tcPr>
            <w:tcW w:w="1730" w:type="dxa"/>
            <w:vAlign w:val="center"/>
          </w:tcPr>
          <w:p>
            <w:pPr>
              <w:spacing w:line="300" w:lineRule="exact"/>
              <w:rPr>
                <w:rFonts w:ascii="Calibri" w:hAnsi="Calibri"/>
              </w:rPr>
            </w:pPr>
            <w:r>
              <w:rPr>
                <w:rFonts w:hint="eastAsia" w:ascii="Calibri" w:hAnsi="Calibri"/>
              </w:rPr>
              <w:t>CJ430481000017</w:t>
            </w:r>
          </w:p>
        </w:tc>
        <w:tc>
          <w:tcPr>
            <w:tcW w:w="2001" w:type="dxa"/>
            <w:vAlign w:val="center"/>
          </w:tcPr>
          <w:p>
            <w:pPr>
              <w:spacing w:line="300" w:lineRule="exact"/>
              <w:rPr>
                <w:rFonts w:ascii="Calibri" w:hAnsi="Calibri"/>
              </w:rPr>
            </w:pPr>
            <w:r>
              <w:rPr>
                <w:rFonts w:hint="eastAsia" w:ascii="Calibri" w:hAnsi="Calibri"/>
              </w:rPr>
              <w:t>耒阳市永济镇耒水饮用水水源保护区</w:t>
            </w:r>
          </w:p>
        </w:tc>
        <w:tc>
          <w:tcPr>
            <w:tcW w:w="2495" w:type="dxa"/>
            <w:vAlign w:val="center"/>
          </w:tcPr>
          <w:p>
            <w:pPr>
              <w:spacing w:line="300" w:lineRule="exact"/>
              <w:rPr>
                <w:rFonts w:ascii="Calibri" w:hAnsi="Calibri"/>
              </w:rPr>
            </w:pPr>
            <w:r>
              <w:rPr>
                <w:rFonts w:hint="eastAsia" w:ascii="Calibri" w:hAnsi="Calibri"/>
              </w:rPr>
              <w:t xml:space="preserve">耒阳市永济镇 </w:t>
            </w:r>
          </w:p>
        </w:tc>
        <w:tc>
          <w:tcPr>
            <w:tcW w:w="992" w:type="dxa"/>
            <w:vAlign w:val="center"/>
          </w:tcPr>
          <w:p>
            <w:pPr>
              <w:spacing w:line="300" w:lineRule="exact"/>
              <w:jc w:val="center"/>
              <w:rPr>
                <w:rFonts w:ascii="Calibri" w:hAnsi="Calibri"/>
              </w:rPr>
            </w:pPr>
            <w:r>
              <w:rPr>
                <w:rFonts w:hint="eastAsia" w:ascii="Calibri" w:hAnsi="Calibri"/>
              </w:rPr>
              <w:t>0.34</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18</w:t>
            </w:r>
          </w:p>
        </w:tc>
        <w:tc>
          <w:tcPr>
            <w:tcW w:w="1730" w:type="dxa"/>
            <w:vAlign w:val="center"/>
          </w:tcPr>
          <w:p>
            <w:pPr>
              <w:spacing w:line="300" w:lineRule="exact"/>
              <w:rPr>
                <w:rFonts w:ascii="Calibri" w:hAnsi="Calibri"/>
              </w:rPr>
            </w:pPr>
            <w:r>
              <w:rPr>
                <w:rFonts w:hint="eastAsia" w:ascii="Calibri" w:hAnsi="Calibri"/>
              </w:rPr>
              <w:t>CJ430481000018</w:t>
            </w:r>
          </w:p>
        </w:tc>
        <w:tc>
          <w:tcPr>
            <w:tcW w:w="2001" w:type="dxa"/>
            <w:vAlign w:val="center"/>
          </w:tcPr>
          <w:p>
            <w:pPr>
              <w:spacing w:line="300" w:lineRule="exact"/>
              <w:rPr>
                <w:rFonts w:ascii="Calibri" w:hAnsi="Calibri"/>
              </w:rPr>
            </w:pPr>
            <w:r>
              <w:rPr>
                <w:rFonts w:hint="eastAsia" w:ascii="Calibri" w:hAnsi="Calibri"/>
              </w:rPr>
              <w:t>耒阳市灶市街道耒水饮用水水源保护区</w:t>
            </w:r>
          </w:p>
        </w:tc>
        <w:tc>
          <w:tcPr>
            <w:tcW w:w="2495" w:type="dxa"/>
            <w:vAlign w:val="center"/>
          </w:tcPr>
          <w:p>
            <w:pPr>
              <w:spacing w:line="300" w:lineRule="exact"/>
              <w:rPr>
                <w:rFonts w:ascii="Calibri" w:hAnsi="Calibri"/>
              </w:rPr>
            </w:pPr>
            <w:r>
              <w:rPr>
                <w:rFonts w:hint="eastAsia" w:ascii="Calibri" w:hAnsi="Calibri"/>
              </w:rPr>
              <w:t>耒阳市灶市街道</w:t>
            </w:r>
          </w:p>
        </w:tc>
        <w:tc>
          <w:tcPr>
            <w:tcW w:w="992" w:type="dxa"/>
            <w:vAlign w:val="center"/>
          </w:tcPr>
          <w:p>
            <w:pPr>
              <w:spacing w:line="300" w:lineRule="exact"/>
              <w:jc w:val="center"/>
              <w:rPr>
                <w:rFonts w:ascii="Calibri" w:hAnsi="Calibri"/>
              </w:rPr>
            </w:pPr>
            <w:r>
              <w:rPr>
                <w:rFonts w:hint="eastAsia" w:ascii="Calibri" w:hAnsi="Calibri"/>
              </w:rPr>
              <w:t>0.626</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19</w:t>
            </w:r>
          </w:p>
        </w:tc>
        <w:tc>
          <w:tcPr>
            <w:tcW w:w="1730" w:type="dxa"/>
            <w:vAlign w:val="center"/>
          </w:tcPr>
          <w:p>
            <w:pPr>
              <w:spacing w:line="300" w:lineRule="exact"/>
              <w:rPr>
                <w:rFonts w:ascii="Calibri" w:hAnsi="Calibri"/>
              </w:rPr>
            </w:pPr>
            <w:r>
              <w:rPr>
                <w:rFonts w:hint="eastAsia" w:ascii="Calibri" w:hAnsi="Calibri"/>
              </w:rPr>
              <w:t>CJ430481000019</w:t>
            </w:r>
          </w:p>
        </w:tc>
        <w:tc>
          <w:tcPr>
            <w:tcW w:w="2001" w:type="dxa"/>
            <w:vAlign w:val="center"/>
          </w:tcPr>
          <w:p>
            <w:pPr>
              <w:spacing w:line="300" w:lineRule="exact"/>
              <w:rPr>
                <w:rFonts w:ascii="Calibri" w:hAnsi="Calibri"/>
              </w:rPr>
            </w:pPr>
            <w:r>
              <w:rPr>
                <w:rFonts w:hint="eastAsia" w:ascii="Calibri" w:hAnsi="Calibri"/>
              </w:rPr>
              <w:t>耒阳市南阳镇耒水饮用水水源保护区</w:t>
            </w:r>
          </w:p>
        </w:tc>
        <w:tc>
          <w:tcPr>
            <w:tcW w:w="2495" w:type="dxa"/>
            <w:vAlign w:val="center"/>
          </w:tcPr>
          <w:p>
            <w:pPr>
              <w:spacing w:line="300" w:lineRule="exact"/>
              <w:rPr>
                <w:rFonts w:ascii="Calibri" w:hAnsi="Calibri"/>
              </w:rPr>
            </w:pPr>
            <w:r>
              <w:rPr>
                <w:rFonts w:hint="eastAsia" w:ascii="Calibri" w:hAnsi="Calibri"/>
              </w:rPr>
              <w:t xml:space="preserve">耒阳市南阳镇 </w:t>
            </w:r>
          </w:p>
        </w:tc>
        <w:tc>
          <w:tcPr>
            <w:tcW w:w="992" w:type="dxa"/>
            <w:vAlign w:val="center"/>
          </w:tcPr>
          <w:p>
            <w:pPr>
              <w:spacing w:line="300" w:lineRule="exact"/>
              <w:jc w:val="center"/>
              <w:rPr>
                <w:rFonts w:ascii="Calibri" w:hAnsi="Calibri"/>
              </w:rPr>
            </w:pPr>
            <w:r>
              <w:rPr>
                <w:rFonts w:hint="eastAsia" w:ascii="Calibri" w:hAnsi="Calibri"/>
              </w:rPr>
              <w:t>0.214</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20</w:t>
            </w:r>
          </w:p>
        </w:tc>
        <w:tc>
          <w:tcPr>
            <w:tcW w:w="1730" w:type="dxa"/>
            <w:vAlign w:val="center"/>
          </w:tcPr>
          <w:p>
            <w:pPr>
              <w:spacing w:line="300" w:lineRule="exact"/>
              <w:rPr>
                <w:rFonts w:ascii="Calibri" w:hAnsi="Calibri"/>
              </w:rPr>
            </w:pPr>
            <w:r>
              <w:rPr>
                <w:rFonts w:hint="eastAsia" w:ascii="Calibri" w:hAnsi="Calibri"/>
              </w:rPr>
              <w:t>CJ430481000020</w:t>
            </w:r>
          </w:p>
        </w:tc>
        <w:tc>
          <w:tcPr>
            <w:tcW w:w="2001" w:type="dxa"/>
            <w:vAlign w:val="center"/>
          </w:tcPr>
          <w:p>
            <w:pPr>
              <w:spacing w:line="300" w:lineRule="exact"/>
              <w:rPr>
                <w:rFonts w:ascii="Calibri" w:hAnsi="Calibri"/>
              </w:rPr>
            </w:pPr>
            <w:r>
              <w:rPr>
                <w:rFonts w:hint="eastAsia" w:ascii="Calibri" w:hAnsi="Calibri"/>
              </w:rPr>
              <w:t>耒阳市南阳镇淝江饮用水水源保护区</w:t>
            </w:r>
          </w:p>
        </w:tc>
        <w:tc>
          <w:tcPr>
            <w:tcW w:w="2495" w:type="dxa"/>
            <w:vAlign w:val="center"/>
          </w:tcPr>
          <w:p>
            <w:pPr>
              <w:spacing w:line="300" w:lineRule="exact"/>
              <w:rPr>
                <w:rFonts w:ascii="Calibri" w:hAnsi="Calibri"/>
              </w:rPr>
            </w:pPr>
            <w:r>
              <w:rPr>
                <w:rFonts w:hint="eastAsia" w:ascii="Calibri" w:hAnsi="Calibri"/>
              </w:rPr>
              <w:t xml:space="preserve">耒阳市南阳镇 </w:t>
            </w:r>
          </w:p>
        </w:tc>
        <w:tc>
          <w:tcPr>
            <w:tcW w:w="992" w:type="dxa"/>
            <w:vAlign w:val="center"/>
          </w:tcPr>
          <w:p>
            <w:pPr>
              <w:spacing w:line="300" w:lineRule="exact"/>
              <w:jc w:val="center"/>
              <w:rPr>
                <w:rFonts w:ascii="Calibri" w:hAnsi="Calibri"/>
              </w:rPr>
            </w:pPr>
            <w:r>
              <w:rPr>
                <w:rFonts w:hint="eastAsia" w:ascii="Calibri" w:hAnsi="Calibri"/>
              </w:rPr>
              <w:t>0.16</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21</w:t>
            </w:r>
          </w:p>
        </w:tc>
        <w:tc>
          <w:tcPr>
            <w:tcW w:w="1730" w:type="dxa"/>
            <w:vAlign w:val="center"/>
          </w:tcPr>
          <w:p>
            <w:pPr>
              <w:spacing w:line="300" w:lineRule="exact"/>
              <w:rPr>
                <w:rFonts w:ascii="Calibri" w:hAnsi="Calibri"/>
              </w:rPr>
            </w:pPr>
            <w:r>
              <w:rPr>
                <w:rFonts w:hint="eastAsia" w:ascii="Calibri" w:hAnsi="Calibri"/>
              </w:rPr>
              <w:t>CJ430481000021</w:t>
            </w:r>
          </w:p>
        </w:tc>
        <w:tc>
          <w:tcPr>
            <w:tcW w:w="2001" w:type="dxa"/>
            <w:vAlign w:val="center"/>
          </w:tcPr>
          <w:p>
            <w:pPr>
              <w:spacing w:line="300" w:lineRule="exact"/>
              <w:rPr>
                <w:rFonts w:ascii="Calibri" w:hAnsi="Calibri"/>
              </w:rPr>
            </w:pPr>
            <w:r>
              <w:rPr>
                <w:rFonts w:hint="eastAsia" w:ascii="Calibri" w:hAnsi="Calibri"/>
              </w:rPr>
              <w:t>耒阳市小水镇小水河饮用水水源保护区</w:t>
            </w:r>
          </w:p>
        </w:tc>
        <w:tc>
          <w:tcPr>
            <w:tcW w:w="2495" w:type="dxa"/>
            <w:vAlign w:val="center"/>
          </w:tcPr>
          <w:p>
            <w:pPr>
              <w:spacing w:line="300" w:lineRule="exact"/>
              <w:rPr>
                <w:rFonts w:ascii="Calibri" w:hAnsi="Calibri"/>
              </w:rPr>
            </w:pPr>
            <w:r>
              <w:rPr>
                <w:rFonts w:hint="eastAsia" w:ascii="Calibri" w:hAnsi="Calibri"/>
              </w:rPr>
              <w:t>耒阳市小水镇</w:t>
            </w:r>
          </w:p>
        </w:tc>
        <w:tc>
          <w:tcPr>
            <w:tcW w:w="992" w:type="dxa"/>
            <w:vAlign w:val="center"/>
          </w:tcPr>
          <w:p>
            <w:pPr>
              <w:spacing w:line="300" w:lineRule="exact"/>
              <w:jc w:val="center"/>
              <w:rPr>
                <w:rFonts w:ascii="Calibri" w:hAnsi="Calibri"/>
              </w:rPr>
            </w:pPr>
            <w:r>
              <w:rPr>
                <w:rFonts w:hint="eastAsia" w:ascii="Calibri" w:hAnsi="Calibri"/>
              </w:rPr>
              <w:t>0.13</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6" w:hRule="atLeast"/>
          <w:tblHeader/>
          <w:jc w:val="center"/>
        </w:trPr>
        <w:tc>
          <w:tcPr>
            <w:tcW w:w="48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22</w:t>
            </w:r>
          </w:p>
        </w:tc>
        <w:tc>
          <w:tcPr>
            <w:tcW w:w="1730" w:type="dxa"/>
            <w:vAlign w:val="center"/>
          </w:tcPr>
          <w:p>
            <w:pPr>
              <w:spacing w:line="300" w:lineRule="exact"/>
              <w:rPr>
                <w:rFonts w:ascii="Calibri" w:hAnsi="Calibri"/>
              </w:rPr>
            </w:pPr>
            <w:r>
              <w:rPr>
                <w:rFonts w:hint="eastAsia" w:ascii="Calibri" w:hAnsi="Calibri"/>
              </w:rPr>
              <w:t>CJ430481000022</w:t>
            </w:r>
          </w:p>
        </w:tc>
        <w:tc>
          <w:tcPr>
            <w:tcW w:w="2001" w:type="dxa"/>
            <w:vAlign w:val="center"/>
          </w:tcPr>
          <w:p>
            <w:pPr>
              <w:spacing w:line="300" w:lineRule="exact"/>
              <w:rPr>
                <w:rFonts w:ascii="Calibri" w:hAnsi="Calibri"/>
              </w:rPr>
            </w:pPr>
            <w:r>
              <w:rPr>
                <w:rFonts w:hint="eastAsia" w:ascii="Calibri" w:hAnsi="Calibri"/>
              </w:rPr>
              <w:t>耒阳市长坪乡石枧河饮用水水源保护区</w:t>
            </w:r>
          </w:p>
        </w:tc>
        <w:tc>
          <w:tcPr>
            <w:tcW w:w="2495" w:type="dxa"/>
            <w:vAlign w:val="center"/>
          </w:tcPr>
          <w:p>
            <w:pPr>
              <w:spacing w:line="300" w:lineRule="exact"/>
              <w:rPr>
                <w:rFonts w:ascii="Calibri" w:hAnsi="Calibri"/>
              </w:rPr>
            </w:pPr>
            <w:r>
              <w:rPr>
                <w:rFonts w:hint="eastAsia" w:ascii="Calibri" w:hAnsi="Calibri"/>
              </w:rPr>
              <w:t xml:space="preserve">耒阳市长坪乡 </w:t>
            </w:r>
          </w:p>
        </w:tc>
        <w:tc>
          <w:tcPr>
            <w:tcW w:w="992" w:type="dxa"/>
            <w:vAlign w:val="center"/>
          </w:tcPr>
          <w:p>
            <w:pPr>
              <w:spacing w:line="300" w:lineRule="exact"/>
              <w:jc w:val="center"/>
              <w:rPr>
                <w:rFonts w:ascii="Calibri" w:hAnsi="Calibri"/>
              </w:rPr>
            </w:pPr>
            <w:r>
              <w:rPr>
                <w:rFonts w:hint="eastAsia" w:ascii="Calibri" w:hAnsi="Calibri"/>
              </w:rPr>
              <w:t>0.114</w:t>
            </w:r>
          </w:p>
        </w:tc>
        <w:tc>
          <w:tcPr>
            <w:tcW w:w="2006" w:type="dxa"/>
            <w:vMerge w:val="continue"/>
            <w:vAlign w:val="center"/>
          </w:tcPr>
          <w:p>
            <w:pPr>
              <w:pStyle w:val="15"/>
              <w:widowControl/>
              <w:wordWrap w:val="0"/>
              <w:spacing w:beforeAutospacing="0" w:afterAutospacing="0"/>
              <w:jc w:val="center"/>
              <w:rPr>
                <w:rFonts w:ascii="Calibri" w:hAnsi="Calibri"/>
                <w:kern w:val="2"/>
                <w:sz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tblHeader/>
          <w:jc w:val="center"/>
        </w:trPr>
        <w:tc>
          <w:tcPr>
            <w:tcW w:w="480" w:type="dxa"/>
            <w:vAlign w:val="center"/>
          </w:tcPr>
          <w:p>
            <w:pPr>
              <w:pStyle w:val="15"/>
              <w:widowControl/>
              <w:wordWrap w:val="0"/>
              <w:spacing w:beforeAutospacing="0" w:afterAutospacing="0"/>
              <w:jc w:val="center"/>
              <w:rPr>
                <w:rFonts w:asciiTheme="minorEastAsia" w:hAnsiTheme="minorEastAsia" w:eastAsiaTheme="minorEastAsia" w:cstheme="minorEastAsia"/>
                <w:kern w:val="2"/>
                <w:sz w:val="21"/>
                <w:szCs w:val="21"/>
              </w:rPr>
            </w:pPr>
          </w:p>
        </w:tc>
        <w:tc>
          <w:tcPr>
            <w:tcW w:w="1730"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合计</w:t>
            </w:r>
          </w:p>
        </w:tc>
        <w:tc>
          <w:tcPr>
            <w:tcW w:w="2001"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22处</w:t>
            </w:r>
          </w:p>
        </w:tc>
        <w:tc>
          <w:tcPr>
            <w:tcW w:w="2495" w:type="dxa"/>
            <w:vAlign w:val="center"/>
          </w:tcPr>
          <w:p>
            <w:pPr>
              <w:spacing w:line="300" w:lineRule="exact"/>
              <w:jc w:val="center"/>
              <w:rPr>
                <w:rFonts w:ascii="Calibri" w:hAnsi="Calibri"/>
              </w:rPr>
            </w:pPr>
          </w:p>
        </w:tc>
        <w:tc>
          <w:tcPr>
            <w:tcW w:w="992" w:type="dxa"/>
            <w:vAlign w:val="center"/>
          </w:tcPr>
          <w:p>
            <w:pPr>
              <w:spacing w:line="300" w:lineRule="exact"/>
              <w:jc w:val="center"/>
              <w:rPr>
                <w:rFonts w:hint="default" w:ascii="Calibri" w:hAnsi="Calibri" w:eastAsia="宋体"/>
                <w:lang w:val="en-US" w:eastAsia="zh-CN"/>
              </w:rPr>
            </w:pPr>
            <w:r>
              <w:rPr>
                <w:rFonts w:hint="eastAsia" w:ascii="Calibri" w:hAnsi="Calibri"/>
              </w:rPr>
              <w:t>3</w:t>
            </w:r>
            <w:r>
              <w:rPr>
                <w:rFonts w:hint="eastAsia" w:ascii="Calibri" w:hAnsi="Calibri"/>
                <w:lang w:val="en-US" w:eastAsia="zh-CN"/>
              </w:rPr>
              <w:t>73.459</w:t>
            </w:r>
          </w:p>
        </w:tc>
        <w:tc>
          <w:tcPr>
            <w:tcW w:w="2006" w:type="dxa"/>
            <w:vAlign w:val="center"/>
          </w:tcPr>
          <w:p>
            <w:pPr>
              <w:pStyle w:val="15"/>
              <w:widowControl/>
              <w:wordWrap w:val="0"/>
              <w:spacing w:beforeAutospacing="0" w:afterAutospacing="0"/>
              <w:jc w:val="center"/>
              <w:rPr>
                <w:rFonts w:ascii="Calibri" w:hAnsi="Calibri"/>
                <w:kern w:val="2"/>
                <w:sz w:val="21"/>
              </w:rPr>
            </w:pPr>
          </w:p>
        </w:tc>
      </w:tr>
    </w:tbl>
    <w:p/>
    <w:p>
      <w:pPr>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除上述禁止开采区外，</w:t>
      </w:r>
      <w:r>
        <w:rPr>
          <w:rFonts w:hint="eastAsia" w:ascii="宋体" w:hAnsi="宋体" w:cs="宋体"/>
          <w:sz w:val="28"/>
          <w:szCs w:val="28"/>
        </w:rPr>
        <w:t>①</w:t>
      </w:r>
      <w:r>
        <w:rPr>
          <w:rFonts w:hint="eastAsia" w:asciiTheme="minorEastAsia" w:hAnsiTheme="minorEastAsia" w:eastAsiaTheme="minorEastAsia" w:cstheme="minorEastAsia"/>
          <w:sz w:val="28"/>
          <w:szCs w:val="28"/>
        </w:rPr>
        <w:t>生态保护红线、永久基本农田保护区、国家级生态公益林（Ⅰ级）如五峰仙国家级公益林等各类保护区；</w:t>
      </w:r>
      <w:r>
        <w:rPr>
          <w:rFonts w:hint="eastAsia" w:ascii="宋体" w:hAnsi="宋体" w:cs="宋体"/>
          <w:sz w:val="28"/>
          <w:szCs w:val="28"/>
        </w:rPr>
        <w:t>②</w:t>
      </w:r>
      <w:r>
        <w:rPr>
          <w:rFonts w:hint="eastAsia" w:asciiTheme="minorEastAsia" w:hAnsiTheme="minorEastAsia" w:eastAsiaTheme="minorEastAsia" w:cstheme="minorEastAsia"/>
          <w:sz w:val="28"/>
          <w:szCs w:val="28"/>
        </w:rPr>
        <w:t>铁路两侧各1000米；城镇建成区及规划区、国道两侧各300米；省道两侧各200米；</w:t>
      </w:r>
      <w:r>
        <w:rPr>
          <w:rFonts w:hint="eastAsia" w:ascii="宋体" w:hAnsi="宋体" w:cs="宋体"/>
          <w:sz w:val="28"/>
          <w:szCs w:val="28"/>
        </w:rPr>
        <w:t>③</w:t>
      </w:r>
      <w:r>
        <w:rPr>
          <w:rFonts w:hint="eastAsia" w:asciiTheme="minorEastAsia" w:hAnsiTheme="minorEastAsia" w:eastAsiaTheme="minorEastAsia" w:cstheme="minorEastAsia"/>
          <w:sz w:val="28"/>
          <w:szCs w:val="28"/>
        </w:rPr>
        <w:t>湘江流域一级支流（即湘江流域一级支流耒水、湘江流域一级支流舂陵水耒阳一侧）两岸各300米、其他重要的一级支流或二级支流两岸各200米、耒阳市中心城区、饮用水源地水面周边300米）；</w:t>
      </w:r>
      <w:r>
        <w:rPr>
          <w:rFonts w:hint="eastAsia" w:ascii="宋体" w:hAnsi="宋体" w:cs="宋体"/>
          <w:sz w:val="28"/>
          <w:szCs w:val="28"/>
        </w:rPr>
        <w:t>④</w:t>
      </w:r>
      <w:r>
        <w:rPr>
          <w:rFonts w:hint="eastAsia" w:asciiTheme="minorEastAsia" w:hAnsiTheme="minorEastAsia" w:eastAsiaTheme="minorEastAsia" w:cstheme="minorEastAsia"/>
          <w:sz w:val="28"/>
          <w:szCs w:val="28"/>
        </w:rPr>
        <w:t>高压线、光缆、输油管线、输气管线两侧。根据相关法律法规确定为禁止开采区，不收录在规划图表中标示。</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禁止开采区内不得设置砂石土矿。已设的采矿权，相关管理部门应与采矿权人协商有序退出。</w:t>
      </w:r>
    </w:p>
    <w:p>
      <w:pPr>
        <w:spacing w:line="360" w:lineRule="auto"/>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2、限制开采区</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根据国家产业政策、经济社会发展及资源环境保护的要求或国家、省、市、县特殊需要等，受经济、技术、安全、环境等多种因素的制约，对砂石土矿开采实行一定限制的区域。</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⑴湘江流域一级支流限制开采区（从湘江流域一级支流禁止开采区边界开始，外推至距河流两岸不超过1000米以内的区域，但外推区域内存在山脊线的，限采区为禁采区边界至第一层山脊线之间的区域；重要饮用水源地禁止开采区外边界至周边1000米以内的区域）。</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（2）砂石土矿开发可能导致生态环境遭受破坏。</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规划限制开采区</w:t>
      </w:r>
      <w:r>
        <w:rPr>
          <w:rFonts w:hint="eastAsia" w:asciiTheme="minorEastAsia" w:hAnsiTheme="minorEastAsia" w:eastAsiaTheme="minorEastAsia" w:cstheme="minorEastAsia"/>
          <w:sz w:val="28"/>
          <w:szCs w:val="28"/>
          <w:lang w:eastAsia="zh-CN"/>
        </w:rPr>
        <w:t>为</w:t>
      </w:r>
      <w:r>
        <w:rPr>
          <w:rFonts w:hint="eastAsia" w:asciiTheme="minorEastAsia" w:hAnsiTheme="minorEastAsia" w:eastAsiaTheme="minorEastAsia" w:cstheme="minorEastAsia"/>
          <w:sz w:val="28"/>
          <w:szCs w:val="28"/>
        </w:rPr>
        <w:t>湘江流域限制开采区</w:t>
      </w:r>
      <w:r>
        <w:rPr>
          <w:rFonts w:hint="eastAsia" w:asciiTheme="minorEastAsia" w:hAnsiTheme="minorEastAsia" w:eastAsiaTheme="minorEastAsia" w:cstheme="minorEastAsia"/>
          <w:sz w:val="28"/>
          <w:szCs w:val="28"/>
          <w:lang w:val="en-US" w:eastAsia="zh-CN"/>
        </w:rPr>
        <w:t>2</w:t>
      </w:r>
      <w:r>
        <w:rPr>
          <w:rFonts w:hint="eastAsia" w:asciiTheme="minorEastAsia" w:hAnsiTheme="minorEastAsia" w:eastAsiaTheme="minorEastAsia" w:cstheme="minorEastAsia"/>
          <w:sz w:val="28"/>
          <w:szCs w:val="28"/>
        </w:rPr>
        <w:t>个，总面积为</w:t>
      </w:r>
      <w:r>
        <w:rPr>
          <w:rFonts w:hint="eastAsia" w:asciiTheme="minorEastAsia" w:hAnsiTheme="minorEastAsia" w:eastAsiaTheme="minorEastAsia" w:cstheme="minorEastAsia"/>
          <w:sz w:val="28"/>
          <w:szCs w:val="28"/>
          <w:lang w:val="en-US" w:eastAsia="zh-CN"/>
        </w:rPr>
        <w:t>181.49</w:t>
      </w:r>
      <w:r>
        <w:rPr>
          <w:rFonts w:hint="eastAsia" w:asciiTheme="minorEastAsia" w:hAnsiTheme="minorEastAsia" w:eastAsiaTheme="minorEastAsia" w:cstheme="minorEastAsia"/>
          <w:sz w:val="28"/>
          <w:szCs w:val="28"/>
        </w:rPr>
        <w:t>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。详见专栏四，附表4。</w:t>
      </w:r>
    </w:p>
    <w:p>
      <w:pPr>
        <w:pStyle w:val="2"/>
        <w:ind w:firstLine="280"/>
        <w:rPr>
          <w:rFonts w:asciiTheme="minorEastAsia" w:hAnsiTheme="minorEastAsia" w:eastAsiaTheme="minorEastAsia" w:cstheme="minorEastAsia"/>
          <w:szCs w:val="28"/>
        </w:rPr>
      </w:pPr>
    </w:p>
    <w:p>
      <w:pPr>
        <w:pStyle w:val="2"/>
        <w:ind w:firstLine="280"/>
        <w:rPr>
          <w:rFonts w:asciiTheme="minorEastAsia" w:hAnsiTheme="minorEastAsia" w:eastAsiaTheme="minorEastAsia" w:cstheme="minorEastAsia"/>
          <w:szCs w:val="28"/>
        </w:rPr>
      </w:pPr>
    </w:p>
    <w:p>
      <w:pPr>
        <w:pStyle w:val="2"/>
        <w:ind w:firstLine="280"/>
        <w:rPr>
          <w:rFonts w:asciiTheme="minorEastAsia" w:hAnsiTheme="minorEastAsia" w:eastAsiaTheme="minorEastAsia" w:cstheme="minorEastAsia"/>
          <w:szCs w:val="28"/>
        </w:rPr>
      </w:pPr>
    </w:p>
    <w:p>
      <w:pPr>
        <w:pStyle w:val="2"/>
        <w:ind w:firstLine="280"/>
        <w:rPr>
          <w:rFonts w:asciiTheme="minorEastAsia" w:hAnsiTheme="minorEastAsia" w:eastAsiaTheme="minorEastAsia" w:cstheme="minorEastAsia"/>
          <w:szCs w:val="28"/>
        </w:rPr>
      </w:pPr>
    </w:p>
    <w:p>
      <w:pPr>
        <w:pStyle w:val="2"/>
        <w:ind w:firstLine="280"/>
        <w:rPr>
          <w:rFonts w:asciiTheme="minorEastAsia" w:hAnsiTheme="minorEastAsia" w:eastAsiaTheme="minorEastAsia" w:cstheme="minorEastAsia"/>
          <w:szCs w:val="28"/>
        </w:rPr>
      </w:pPr>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专栏四                 耒阳市砂石土矿限制开采区表</w:t>
      </w:r>
    </w:p>
    <w:tbl>
      <w:tblPr>
        <w:tblStyle w:val="18"/>
        <w:tblW w:w="9381" w:type="dxa"/>
        <w:tblInd w:w="-8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00"/>
        <w:gridCol w:w="1695"/>
        <w:gridCol w:w="2005"/>
        <w:gridCol w:w="2552"/>
        <w:gridCol w:w="850"/>
        <w:gridCol w:w="16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pPr>
              <w:pStyle w:val="15"/>
              <w:widowControl/>
              <w:jc w:val="center"/>
              <w:rPr>
                <w:rFonts w:ascii="Arial" w:hAnsi="Arial" w:cs="Arial"/>
                <w:b/>
                <w:sz w:val="18"/>
                <w:szCs w:val="18"/>
              </w:rPr>
            </w:pPr>
            <w:r>
              <w:rPr>
                <w:rFonts w:hint="eastAsia" w:ascii="Arial" w:hAnsi="Arial" w:cs="Arial"/>
                <w:b/>
                <w:sz w:val="18"/>
                <w:szCs w:val="18"/>
              </w:rPr>
              <w:t>序号</w:t>
            </w:r>
          </w:p>
        </w:tc>
        <w:tc>
          <w:tcPr>
            <w:tcW w:w="1695" w:type="dxa"/>
            <w:vAlign w:val="center"/>
          </w:tcPr>
          <w:p>
            <w:pPr>
              <w:pStyle w:val="15"/>
              <w:widowControl/>
              <w:jc w:val="center"/>
              <w:rPr>
                <w:rFonts w:ascii="Arial" w:hAnsi="Arial" w:cs="Arial"/>
                <w:b/>
                <w:sz w:val="18"/>
                <w:szCs w:val="18"/>
              </w:rPr>
            </w:pPr>
            <w:r>
              <w:rPr>
                <w:rFonts w:hint="eastAsia" w:ascii="Arial" w:hAnsi="Arial" w:cs="Arial"/>
                <w:b/>
                <w:sz w:val="18"/>
                <w:szCs w:val="18"/>
              </w:rPr>
              <w:t>图幅编号</w:t>
            </w:r>
          </w:p>
        </w:tc>
        <w:tc>
          <w:tcPr>
            <w:tcW w:w="2005" w:type="dxa"/>
            <w:vAlign w:val="center"/>
          </w:tcPr>
          <w:p>
            <w:pPr>
              <w:pStyle w:val="15"/>
              <w:widowControl/>
              <w:jc w:val="center"/>
              <w:rPr>
                <w:rFonts w:ascii="Arial" w:hAnsi="Arial" w:cs="Arial"/>
                <w:b/>
                <w:sz w:val="18"/>
                <w:szCs w:val="18"/>
              </w:rPr>
            </w:pPr>
            <w:r>
              <w:rPr>
                <w:rFonts w:hint="eastAsia" w:ascii="Arial" w:hAnsi="Arial" w:cs="Arial"/>
                <w:b/>
                <w:sz w:val="18"/>
                <w:szCs w:val="18"/>
              </w:rPr>
              <w:t>开采区名称</w:t>
            </w:r>
          </w:p>
        </w:tc>
        <w:tc>
          <w:tcPr>
            <w:tcW w:w="2552" w:type="dxa"/>
            <w:vAlign w:val="center"/>
          </w:tcPr>
          <w:p>
            <w:pPr>
              <w:pStyle w:val="15"/>
              <w:widowControl/>
              <w:jc w:val="center"/>
              <w:rPr>
                <w:rFonts w:ascii="Arial" w:hAnsi="Arial" w:cs="Arial"/>
                <w:b/>
                <w:sz w:val="18"/>
                <w:szCs w:val="18"/>
              </w:rPr>
            </w:pPr>
            <w:r>
              <w:rPr>
                <w:rFonts w:hint="eastAsia" w:ascii="Arial" w:hAnsi="Arial" w:cs="Arial"/>
                <w:b/>
                <w:sz w:val="18"/>
                <w:szCs w:val="18"/>
              </w:rPr>
              <w:t>所在位置</w:t>
            </w:r>
          </w:p>
        </w:tc>
        <w:tc>
          <w:tcPr>
            <w:tcW w:w="850" w:type="dxa"/>
            <w:vAlign w:val="center"/>
          </w:tcPr>
          <w:p>
            <w:pPr>
              <w:pStyle w:val="15"/>
              <w:widowControl/>
              <w:jc w:val="both"/>
              <w:rPr>
                <w:rFonts w:ascii="Arial" w:hAnsi="Arial" w:cs="Arial"/>
                <w:b/>
                <w:sz w:val="18"/>
                <w:szCs w:val="18"/>
              </w:rPr>
            </w:pPr>
            <w:r>
              <w:rPr>
                <w:rFonts w:hint="eastAsia" w:ascii="Arial" w:hAnsi="Arial" w:cs="Arial"/>
                <w:b/>
                <w:sz w:val="18"/>
                <w:szCs w:val="18"/>
              </w:rPr>
              <w:t>面积（km</w:t>
            </w:r>
            <w:r>
              <w:rPr>
                <w:rFonts w:hint="eastAsia" w:ascii="Arial" w:hAnsi="Arial" w:cs="Arial"/>
                <w:b/>
                <w:sz w:val="18"/>
                <w:szCs w:val="18"/>
                <w:vertAlign w:val="superscript"/>
              </w:rPr>
              <w:t>2</w:t>
            </w:r>
            <w:r>
              <w:rPr>
                <w:rFonts w:hint="eastAsia" w:ascii="Arial" w:hAnsi="Arial" w:cs="Arial"/>
                <w:b/>
                <w:sz w:val="18"/>
                <w:szCs w:val="18"/>
              </w:rPr>
              <w:t>）</w:t>
            </w:r>
          </w:p>
        </w:tc>
        <w:tc>
          <w:tcPr>
            <w:tcW w:w="1679" w:type="dxa"/>
            <w:vAlign w:val="center"/>
          </w:tcPr>
          <w:p>
            <w:pPr>
              <w:pStyle w:val="15"/>
              <w:widowControl/>
              <w:jc w:val="both"/>
              <w:rPr>
                <w:rFonts w:ascii="Arial" w:hAnsi="Arial" w:cs="Arial"/>
                <w:b/>
                <w:sz w:val="18"/>
                <w:szCs w:val="18"/>
              </w:rPr>
            </w:pPr>
            <w:r>
              <w:rPr>
                <w:rFonts w:hint="eastAsia" w:ascii="Arial" w:hAnsi="Arial" w:cs="Arial"/>
                <w:b/>
                <w:sz w:val="18"/>
                <w:szCs w:val="18"/>
              </w:rPr>
              <w:t>限制内容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pPr>
              <w:pStyle w:val="15"/>
              <w:widowControl/>
              <w:wordWrap w:val="0"/>
              <w:spacing w:beforeAutospacing="0" w:afterAutospacing="0"/>
              <w:jc w:val="center"/>
              <w:rPr>
                <w:rFonts w:hint="eastAsia" w:ascii="Calibri" w:hAnsi="Calibri" w:eastAsia="宋体"/>
                <w:kern w:val="2"/>
                <w:sz w:val="21"/>
                <w:lang w:eastAsia="zh-CN"/>
              </w:rPr>
            </w:pPr>
            <w:r>
              <w:rPr>
                <w:rFonts w:hint="eastAsia" w:ascii="Calibri" w:hAnsi="Calibri"/>
                <w:kern w:val="2"/>
                <w:sz w:val="21"/>
                <w:lang w:val="en-US" w:eastAsia="zh-CN"/>
              </w:rPr>
              <w:t>1</w:t>
            </w:r>
          </w:p>
        </w:tc>
        <w:tc>
          <w:tcPr>
            <w:tcW w:w="1695" w:type="dxa"/>
            <w:vAlign w:val="center"/>
          </w:tcPr>
          <w:p>
            <w:pPr>
              <w:spacing w:line="300" w:lineRule="exact"/>
              <w:jc w:val="center"/>
              <w:rPr>
                <w:rFonts w:hint="eastAsia" w:ascii="Calibri" w:hAnsi="Calibri" w:eastAsia="宋体"/>
                <w:lang w:val="en-US" w:eastAsia="zh-CN"/>
              </w:rPr>
            </w:pPr>
            <w:r>
              <w:rPr>
                <w:rFonts w:hint="eastAsia" w:ascii="Calibri" w:hAnsi="Calibri"/>
              </w:rPr>
              <w:t>CX4304810000</w:t>
            </w:r>
            <w:r>
              <w:rPr>
                <w:rFonts w:hint="eastAsia" w:ascii="Calibri" w:hAnsi="Calibri"/>
                <w:lang w:val="en-US" w:eastAsia="zh-CN"/>
              </w:rPr>
              <w:t>2</w:t>
            </w:r>
          </w:p>
        </w:tc>
        <w:tc>
          <w:tcPr>
            <w:tcW w:w="2005" w:type="dxa"/>
            <w:vAlign w:val="center"/>
          </w:tcPr>
          <w:p>
            <w:pPr>
              <w:spacing w:line="300" w:lineRule="exact"/>
              <w:rPr>
                <w:rFonts w:ascii="Calibri" w:hAnsi="Calibri"/>
              </w:rPr>
            </w:pPr>
            <w:r>
              <w:rPr>
                <w:rFonts w:hint="eastAsia" w:ascii="Calibri" w:hAnsi="Calibri"/>
              </w:rPr>
              <w:t>湘江流域一级支流舂陵水限制开采区</w:t>
            </w:r>
          </w:p>
        </w:tc>
        <w:tc>
          <w:tcPr>
            <w:tcW w:w="2552" w:type="dxa"/>
            <w:vAlign w:val="center"/>
          </w:tcPr>
          <w:p>
            <w:pPr>
              <w:spacing w:line="300" w:lineRule="exact"/>
              <w:rPr>
                <w:rFonts w:ascii="Calibri" w:hAnsi="Calibri"/>
              </w:rPr>
            </w:pPr>
            <w:r>
              <w:rPr>
                <w:rFonts w:hint="eastAsia" w:ascii="Calibri" w:hAnsi="Calibri"/>
              </w:rPr>
              <w:t>大和圩镇；坛下镇、哲桥镇、南京镇、仁义镇</w:t>
            </w:r>
          </w:p>
        </w:tc>
        <w:tc>
          <w:tcPr>
            <w:tcW w:w="850" w:type="dxa"/>
            <w:vAlign w:val="center"/>
          </w:tcPr>
          <w:p>
            <w:pPr>
              <w:spacing w:line="300" w:lineRule="exact"/>
              <w:jc w:val="center"/>
              <w:rPr>
                <w:rFonts w:ascii="Calibri" w:hAnsi="Calibri"/>
              </w:rPr>
            </w:pPr>
            <w:r>
              <w:rPr>
                <w:rFonts w:hint="eastAsia" w:ascii="Calibri" w:hAnsi="Calibri"/>
              </w:rPr>
              <w:t>43.32</w:t>
            </w:r>
          </w:p>
        </w:tc>
        <w:tc>
          <w:tcPr>
            <w:tcW w:w="1679" w:type="dxa"/>
            <w:vMerge w:val="restart"/>
            <w:vAlign w:val="center"/>
          </w:tcPr>
          <w:p>
            <w:pPr>
              <w:widowControl/>
              <w:wordWrap w:val="0"/>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00" w:type="dxa"/>
            <w:vAlign w:val="center"/>
          </w:tcPr>
          <w:p>
            <w:pPr>
              <w:pStyle w:val="15"/>
              <w:widowControl/>
              <w:wordWrap w:val="0"/>
              <w:spacing w:beforeAutospacing="0" w:afterAutospacing="0"/>
              <w:jc w:val="center"/>
              <w:rPr>
                <w:rFonts w:hint="eastAsia" w:ascii="Calibri" w:hAnsi="Calibri" w:eastAsia="宋体"/>
                <w:kern w:val="2"/>
                <w:sz w:val="21"/>
                <w:lang w:val="en-US" w:eastAsia="zh-CN"/>
              </w:rPr>
            </w:pPr>
            <w:r>
              <w:rPr>
                <w:rFonts w:hint="eastAsia" w:ascii="Calibri" w:hAnsi="Calibri"/>
                <w:kern w:val="2"/>
                <w:sz w:val="21"/>
                <w:lang w:val="en-US" w:eastAsia="zh-CN"/>
              </w:rPr>
              <w:t>2</w:t>
            </w:r>
          </w:p>
        </w:tc>
        <w:tc>
          <w:tcPr>
            <w:tcW w:w="1695" w:type="dxa"/>
            <w:vAlign w:val="center"/>
          </w:tcPr>
          <w:p>
            <w:pPr>
              <w:spacing w:line="300" w:lineRule="exact"/>
              <w:jc w:val="center"/>
              <w:rPr>
                <w:rFonts w:hint="eastAsia" w:ascii="Calibri" w:hAnsi="Calibri" w:eastAsia="宋体"/>
                <w:lang w:val="en-US" w:eastAsia="zh-CN"/>
              </w:rPr>
            </w:pPr>
            <w:r>
              <w:rPr>
                <w:rFonts w:hint="eastAsia" w:ascii="Calibri" w:hAnsi="Calibri"/>
              </w:rPr>
              <w:t>CX4304810000</w:t>
            </w:r>
            <w:r>
              <w:rPr>
                <w:rFonts w:hint="eastAsia" w:ascii="Calibri" w:hAnsi="Calibri"/>
                <w:lang w:val="en-US" w:eastAsia="zh-CN"/>
              </w:rPr>
              <w:t>3</w:t>
            </w:r>
          </w:p>
        </w:tc>
        <w:tc>
          <w:tcPr>
            <w:tcW w:w="2005" w:type="dxa"/>
            <w:vAlign w:val="center"/>
          </w:tcPr>
          <w:p>
            <w:pPr>
              <w:spacing w:line="300" w:lineRule="exact"/>
              <w:rPr>
                <w:rFonts w:ascii="Calibri" w:hAnsi="Calibri"/>
              </w:rPr>
            </w:pPr>
            <w:r>
              <w:rPr>
                <w:rFonts w:hint="eastAsia" w:ascii="Calibri" w:hAnsi="Calibri"/>
              </w:rPr>
              <w:t>湘江流域一级支流耒水限制开采区</w:t>
            </w:r>
          </w:p>
        </w:tc>
        <w:tc>
          <w:tcPr>
            <w:tcW w:w="2552" w:type="dxa"/>
            <w:vAlign w:val="center"/>
          </w:tcPr>
          <w:p>
            <w:pPr>
              <w:spacing w:line="300" w:lineRule="exact"/>
              <w:rPr>
                <w:rFonts w:ascii="Calibri" w:hAnsi="Calibri"/>
              </w:rPr>
            </w:pPr>
            <w:r>
              <w:rPr>
                <w:rFonts w:hint="eastAsia" w:ascii="Calibri" w:hAnsi="Calibri"/>
              </w:rPr>
              <w:t>永济镇；淝田镇；遥田镇；新市镇；大市镇；三架街道；蔡子池街道；灶市街道；水东江街道；黄市镇；南阳镇；大义镇；</w:t>
            </w:r>
          </w:p>
        </w:tc>
        <w:tc>
          <w:tcPr>
            <w:tcW w:w="850" w:type="dxa"/>
            <w:vAlign w:val="center"/>
          </w:tcPr>
          <w:p>
            <w:pPr>
              <w:spacing w:line="300" w:lineRule="exact"/>
              <w:jc w:val="center"/>
              <w:rPr>
                <w:rFonts w:ascii="Calibri" w:hAnsi="Calibri"/>
              </w:rPr>
            </w:pPr>
            <w:r>
              <w:rPr>
                <w:rFonts w:hint="eastAsia" w:ascii="Calibri" w:hAnsi="Calibri"/>
              </w:rPr>
              <w:t>138.17</w:t>
            </w:r>
          </w:p>
        </w:tc>
        <w:tc>
          <w:tcPr>
            <w:tcW w:w="1679" w:type="dxa"/>
            <w:vMerge w:val="continue"/>
            <w:vAlign w:val="center"/>
          </w:tcPr>
          <w:p>
            <w:pPr>
              <w:widowControl/>
              <w:wordWrap w:val="0"/>
              <w:jc w:val="center"/>
              <w:rPr>
                <w:rFonts w:ascii="Calibri" w:hAnsi="Calibri"/>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9" w:hRule="atLeast"/>
        </w:trPr>
        <w:tc>
          <w:tcPr>
            <w:tcW w:w="2295" w:type="dxa"/>
            <w:gridSpan w:val="2"/>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rPr>
              <w:t>合计</w:t>
            </w:r>
          </w:p>
        </w:tc>
        <w:tc>
          <w:tcPr>
            <w:tcW w:w="2005" w:type="dxa"/>
            <w:vAlign w:val="center"/>
          </w:tcPr>
          <w:p>
            <w:pPr>
              <w:pStyle w:val="15"/>
              <w:widowControl/>
              <w:wordWrap w:val="0"/>
              <w:spacing w:beforeAutospacing="0" w:afterAutospacing="0"/>
              <w:jc w:val="center"/>
              <w:rPr>
                <w:rFonts w:ascii="Calibri" w:hAnsi="Calibri"/>
                <w:kern w:val="2"/>
                <w:sz w:val="21"/>
              </w:rPr>
            </w:pPr>
            <w:r>
              <w:rPr>
                <w:rFonts w:hint="eastAsia" w:ascii="Calibri" w:hAnsi="Calibri"/>
                <w:kern w:val="2"/>
                <w:sz w:val="21"/>
                <w:lang w:val="en-US" w:eastAsia="zh-CN"/>
              </w:rPr>
              <w:t>2</w:t>
            </w:r>
            <w:r>
              <w:rPr>
                <w:rFonts w:hint="eastAsia" w:ascii="Calibri" w:hAnsi="Calibri"/>
                <w:kern w:val="2"/>
                <w:sz w:val="21"/>
              </w:rPr>
              <w:t>处</w:t>
            </w:r>
          </w:p>
        </w:tc>
        <w:tc>
          <w:tcPr>
            <w:tcW w:w="2552" w:type="dxa"/>
            <w:vAlign w:val="center"/>
          </w:tcPr>
          <w:p>
            <w:pPr>
              <w:pStyle w:val="15"/>
              <w:widowControl/>
              <w:wordWrap w:val="0"/>
              <w:spacing w:beforeAutospacing="0" w:afterAutospacing="0"/>
              <w:jc w:val="center"/>
              <w:rPr>
                <w:rFonts w:ascii="Calibri" w:hAnsi="Calibri"/>
                <w:kern w:val="2"/>
                <w:sz w:val="21"/>
              </w:rPr>
            </w:pPr>
          </w:p>
        </w:tc>
        <w:tc>
          <w:tcPr>
            <w:tcW w:w="850" w:type="dxa"/>
            <w:vAlign w:val="center"/>
          </w:tcPr>
          <w:p>
            <w:pPr>
              <w:pStyle w:val="15"/>
              <w:widowControl/>
              <w:wordWrap w:val="0"/>
              <w:spacing w:beforeAutospacing="0" w:afterAutospacing="0"/>
              <w:jc w:val="center"/>
              <w:rPr>
                <w:rFonts w:hint="default" w:ascii="Calibri" w:hAnsi="Calibri" w:eastAsia="宋体"/>
                <w:kern w:val="2"/>
                <w:sz w:val="21"/>
                <w:lang w:val="en-US" w:eastAsia="zh-CN"/>
              </w:rPr>
            </w:pPr>
            <w:r>
              <w:rPr>
                <w:rFonts w:hint="eastAsia" w:ascii="Calibri" w:hAnsi="Calibri"/>
                <w:kern w:val="2"/>
                <w:sz w:val="21"/>
                <w:lang w:val="en-US" w:eastAsia="zh-CN"/>
              </w:rPr>
              <w:t>181.49</w:t>
            </w:r>
          </w:p>
        </w:tc>
        <w:tc>
          <w:tcPr>
            <w:tcW w:w="1679" w:type="dxa"/>
            <w:vAlign w:val="center"/>
          </w:tcPr>
          <w:p>
            <w:pPr>
              <w:pStyle w:val="15"/>
              <w:widowControl/>
              <w:wordWrap w:val="0"/>
              <w:spacing w:beforeAutospacing="0" w:afterAutospacing="0"/>
              <w:jc w:val="center"/>
              <w:rPr>
                <w:rFonts w:ascii="Calibri" w:hAnsi="Calibri"/>
                <w:kern w:val="2"/>
                <w:sz w:val="21"/>
              </w:rPr>
            </w:pPr>
          </w:p>
        </w:tc>
      </w:tr>
    </w:tbl>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具有资源保护功能限制开采区，不得占用、破坏已查明资源。湘江流域限制开采区内，原则上不再新设采矿权，已有采矿权不得扩界，加强矿山地质环境恢复治理和矿山复绿。</w:t>
      </w:r>
    </w:p>
    <w:p>
      <w:pPr>
        <w:spacing w:line="360" w:lineRule="auto"/>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3、允许开釆区</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综合考虑资源分布、产业布局、新型城镇化发展、基础设施建设规划、环保、林业等因素，在资源条件允许、环境影响小、区位较隐蔽的区位设置砂石土矿允许开采区4</w:t>
      </w:r>
      <w:r>
        <w:rPr>
          <w:rFonts w:hint="eastAsia" w:asciiTheme="minorEastAsia" w:hAnsiTheme="minorEastAsia" w:eastAsiaTheme="minorEastAsia" w:cstheme="minorEastAsia"/>
          <w:sz w:val="28"/>
          <w:szCs w:val="28"/>
          <w:lang w:val="en-US" w:eastAsia="zh-CN"/>
        </w:rPr>
        <w:t>4</w:t>
      </w:r>
      <w:r>
        <w:rPr>
          <w:rFonts w:hint="eastAsia" w:asciiTheme="minorEastAsia" w:hAnsiTheme="minorEastAsia" w:eastAsiaTheme="minorEastAsia" w:cstheme="minorEastAsia"/>
          <w:sz w:val="28"/>
          <w:szCs w:val="28"/>
        </w:rPr>
        <w:t>个。</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砂石土矿允许开釆区划分应符合以下要求：</w:t>
      </w:r>
    </w:p>
    <w:p>
      <w:pPr>
        <w:spacing w:line="360" w:lineRule="auto"/>
        <w:ind w:firstLine="560" w:firstLineChars="200"/>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w:t>
      </w:r>
      <w:r>
        <w:rPr>
          <w:rFonts w:hint="eastAsia"/>
          <w:sz w:val="28"/>
          <w:szCs w:val="28"/>
        </w:rPr>
        <w:t>划分</w:t>
      </w:r>
      <w:r>
        <w:rPr>
          <w:sz w:val="28"/>
          <w:szCs w:val="28"/>
        </w:rPr>
        <w:t>砂石土矿允许开采区要综合考虑资源分布、产业布局、新型城镇化发展方向、基础设施建设规划、环保、林业、安全等因素。</w:t>
      </w:r>
    </w:p>
    <w:p>
      <w:pPr>
        <w:spacing w:line="360" w:lineRule="auto"/>
        <w:ind w:firstLine="560" w:firstLineChars="200"/>
        <w:rPr>
          <w:sz w:val="28"/>
          <w:szCs w:val="28"/>
        </w:rPr>
      </w:pPr>
      <w:r>
        <w:rPr>
          <w:rFonts w:asciiTheme="minorEastAsia" w:hAnsiTheme="minorEastAsia" w:eastAsiaTheme="minorEastAsia" w:cstheme="minorEastAsia"/>
          <w:sz w:val="28"/>
          <w:szCs w:val="28"/>
        </w:rPr>
        <w:t>——</w:t>
      </w:r>
      <w:r>
        <w:rPr>
          <w:sz w:val="28"/>
          <w:szCs w:val="28"/>
        </w:rPr>
        <w:t>砂石土矿允许开采区不得位于禁止开采区之内；与限制开采区重叠的砂石土矿允许开采区范围，应与开采规划区块完全一致。</w:t>
      </w:r>
    </w:p>
    <w:p>
      <w:pPr>
        <w:spacing w:line="360" w:lineRule="auto"/>
        <w:ind w:firstLine="560" w:firstLineChars="200"/>
        <w:rPr>
          <w:sz w:val="28"/>
          <w:szCs w:val="28"/>
        </w:rPr>
      </w:pPr>
      <w:r>
        <w:rPr>
          <w:rFonts w:asciiTheme="minorEastAsia" w:hAnsiTheme="minorEastAsia" w:eastAsiaTheme="minorEastAsia" w:cstheme="minorEastAsia"/>
          <w:sz w:val="28"/>
          <w:szCs w:val="28"/>
        </w:rPr>
        <w:t>——</w:t>
      </w:r>
      <w:r>
        <w:rPr>
          <w:sz w:val="28"/>
          <w:szCs w:val="28"/>
        </w:rPr>
        <w:t>一个允许开采区内可以设置多个开采规划区块，但不得突破规划分区确定的开采规划区块数量。</w:t>
      </w:r>
    </w:p>
    <w:p>
      <w:pPr>
        <w:spacing w:line="360" w:lineRule="auto"/>
        <w:ind w:firstLine="560" w:firstLineChars="200"/>
        <w:rPr>
          <w:rFonts w:asciiTheme="minorEastAsia" w:hAnsiTheme="minorEastAsia" w:eastAsiaTheme="minorEastAsia" w:cstheme="minorEastAsia"/>
          <w:sz w:val="28"/>
          <w:szCs w:val="28"/>
        </w:rPr>
      </w:pP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面积不小于一个开釆规划区块</w:t>
      </w:r>
      <w:r>
        <w:rPr>
          <w:rFonts w:asciiTheme="minorEastAsia" w:hAnsiTheme="minorEastAsia" w:eastAsiaTheme="minorEastAsia" w:cstheme="minorEastAsia"/>
          <w:sz w:val="28"/>
          <w:szCs w:val="28"/>
        </w:rPr>
        <w:t>（0.1</w:t>
      </w:r>
      <w:r>
        <w:rPr>
          <w:rFonts w:hint="eastAsia" w:asciiTheme="minorEastAsia" w:hAnsiTheme="minorEastAsia" w:eastAsiaTheme="minorEastAsia" w:cstheme="minorEastAsia"/>
          <w:sz w:val="28"/>
          <w:szCs w:val="28"/>
        </w:rPr>
        <w:t>平方千米</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w:t>
      </w:r>
    </w:p>
    <w:p>
      <w:pPr>
        <w:spacing w:line="360" w:lineRule="auto"/>
        <w:ind w:firstLine="560" w:firstLineChars="200"/>
        <w:rPr>
          <w:rFonts w:asciiTheme="minorEastAsia" w:hAnsiTheme="minorEastAsia" w:eastAsiaTheme="minorEastAsia" w:cstheme="minorEastAsia"/>
          <w:color w:val="FF0000"/>
          <w:sz w:val="28"/>
          <w:szCs w:val="28"/>
        </w:rPr>
      </w:pPr>
      <w:bookmarkStart w:id="14" w:name="bookmark1"/>
      <w:r>
        <w:rPr>
          <w:rFonts w:asciiTheme="minorEastAsia" w:hAnsiTheme="minorEastAsia" w:eastAsiaTheme="minorEastAsia" w:cstheme="minorEastAsia"/>
          <w:color w:val="FF0000"/>
          <w:sz w:val="28"/>
          <w:szCs w:val="28"/>
        </w:rPr>
        <w:t>——</w:t>
      </w:r>
      <w:r>
        <w:rPr>
          <w:rFonts w:hint="eastAsia" w:asciiTheme="minorEastAsia" w:hAnsiTheme="minorEastAsia" w:eastAsiaTheme="minorEastAsia" w:cstheme="minorEastAsia"/>
          <w:color w:val="FF0000"/>
          <w:sz w:val="28"/>
          <w:szCs w:val="28"/>
        </w:rPr>
        <w:t>开采规划区块必须位于允许开采区内；</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本次规划共划定允许开采区</w:t>
      </w:r>
      <w:r>
        <w:rPr>
          <w:rFonts w:hint="eastAsia" w:asciiTheme="minorEastAsia" w:hAnsiTheme="minorEastAsia" w:eastAsiaTheme="minorEastAsia" w:cstheme="minorEastAsia"/>
          <w:color w:val="FF0000"/>
          <w:sz w:val="28"/>
          <w:szCs w:val="28"/>
        </w:rPr>
        <w:t>4</w:t>
      </w:r>
      <w:r>
        <w:rPr>
          <w:rFonts w:hint="eastAsia" w:asciiTheme="minorEastAsia" w:hAnsiTheme="minorEastAsia" w:eastAsiaTheme="minorEastAsia" w:cstheme="minorEastAsia"/>
          <w:color w:val="FF0000"/>
          <w:sz w:val="28"/>
          <w:szCs w:val="28"/>
          <w:lang w:val="en-US" w:eastAsia="zh-CN"/>
        </w:rPr>
        <w:t>4</w:t>
      </w:r>
      <w:r>
        <w:rPr>
          <w:rFonts w:hint="eastAsia" w:asciiTheme="minorEastAsia" w:hAnsiTheme="minorEastAsia" w:eastAsiaTheme="minorEastAsia" w:cstheme="minorEastAsia"/>
          <w:sz w:val="28"/>
          <w:szCs w:val="28"/>
        </w:rPr>
        <w:t>处，总面</w:t>
      </w:r>
      <w:r>
        <w:rPr>
          <w:rFonts w:hint="eastAsia" w:asciiTheme="minorEastAsia" w:hAnsiTheme="minorEastAsia" w:eastAsiaTheme="minorEastAsia" w:cstheme="minorEastAsia"/>
          <w:color w:val="FF0000"/>
          <w:sz w:val="28"/>
          <w:szCs w:val="28"/>
        </w:rPr>
        <w:t>积</w:t>
      </w:r>
      <w:r>
        <w:rPr>
          <w:rFonts w:hint="eastAsia" w:asciiTheme="minorEastAsia" w:hAnsiTheme="minorEastAsia" w:eastAsiaTheme="minorEastAsia" w:cstheme="minorEastAsia"/>
          <w:color w:val="FF0000"/>
          <w:sz w:val="28"/>
          <w:szCs w:val="28"/>
          <w:lang w:val="en-US" w:eastAsia="zh-CN"/>
        </w:rPr>
        <w:t>8.295</w:t>
      </w:r>
      <w:r>
        <w:rPr>
          <w:rFonts w:hint="eastAsia" w:asciiTheme="minorEastAsia" w:hAnsiTheme="minorEastAsia" w:eastAsiaTheme="minorEastAsia" w:cstheme="minorEastAsia"/>
          <w:sz w:val="28"/>
          <w:szCs w:val="28"/>
          <w:lang w:val="en-US" w:eastAsia="zh-CN"/>
        </w:rPr>
        <w:t>3</w:t>
      </w:r>
      <w:r>
        <w:rPr>
          <w:rFonts w:hint="eastAsia" w:asciiTheme="minorEastAsia" w:hAnsiTheme="minorEastAsia" w:eastAsiaTheme="minorEastAsia" w:cstheme="minorEastAsia"/>
          <w:sz w:val="28"/>
          <w:szCs w:val="28"/>
        </w:rPr>
        <w:t>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（专栏五）。</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其中设置开采规划区块的允许开采区23个。作为资源开发备选点的空白允许开采区</w:t>
      </w:r>
      <w:r>
        <w:rPr>
          <w:rFonts w:hint="eastAsia" w:asciiTheme="minorEastAsia" w:hAnsiTheme="minorEastAsia" w:eastAsiaTheme="minorEastAsia" w:cstheme="minorEastAsia"/>
          <w:color w:val="FF0000"/>
          <w:sz w:val="28"/>
          <w:szCs w:val="28"/>
        </w:rPr>
        <w:t>2</w:t>
      </w:r>
      <w:r>
        <w:rPr>
          <w:rFonts w:hint="eastAsia" w:asciiTheme="minorEastAsia" w:hAnsiTheme="minorEastAsia" w:eastAsiaTheme="minorEastAsia" w:cstheme="minorEastAsia"/>
          <w:color w:val="FF0000"/>
          <w:sz w:val="28"/>
          <w:szCs w:val="28"/>
          <w:lang w:val="en-US" w:eastAsia="zh-CN"/>
        </w:rPr>
        <w:t>1</w:t>
      </w:r>
      <w:r>
        <w:rPr>
          <w:rFonts w:hint="eastAsia" w:asciiTheme="minorEastAsia" w:hAnsiTheme="minorEastAsia" w:eastAsiaTheme="minorEastAsia" w:cstheme="minorEastAsia"/>
          <w:sz w:val="28"/>
          <w:szCs w:val="28"/>
        </w:rPr>
        <w:t>个。</w:t>
      </w:r>
    </w:p>
    <w:p>
      <w:pPr>
        <w:pStyle w:val="2"/>
        <w:ind w:firstLine="280"/>
        <w:rPr>
          <w:rFonts w:asciiTheme="minorEastAsia" w:hAnsiTheme="minorEastAsia" w:eastAsiaTheme="minorEastAsia" w:cstheme="minorEastAsia"/>
          <w:szCs w:val="28"/>
        </w:rPr>
      </w:pPr>
    </w:p>
    <w:p>
      <w:pPr>
        <w:spacing w:line="360" w:lineRule="auto"/>
        <w:rPr>
          <w:rFonts w:asciiTheme="minorEastAsia" w:hAnsiTheme="minorEastAsia" w:eastAsiaTheme="minorEastAsia" w:cstheme="minorEastAsia"/>
          <w:b/>
          <w:bCs/>
          <w:sz w:val="24"/>
        </w:rPr>
        <w:sectPr>
          <w:footerReference r:id="rId4" w:type="default"/>
          <w:pgSz w:w="11906" w:h="16838"/>
          <w:pgMar w:top="1440" w:right="1800" w:bottom="1440" w:left="1800" w:header="851" w:footer="992" w:gutter="0"/>
          <w:pgNumType w:start="1"/>
          <w:cols w:space="425" w:num="1"/>
          <w:docGrid w:type="lines" w:linePitch="312" w:charSpace="0"/>
        </w:sectPr>
      </w:pPr>
      <w:bookmarkStart w:id="60" w:name="_GoBack"/>
      <w:bookmarkEnd w:id="60"/>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 xml:space="preserve"> 专栏五                                           耒阳市砂石土矿允许开采区表</w:t>
      </w:r>
    </w:p>
    <w:tbl>
      <w:tblPr>
        <w:tblStyle w:val="18"/>
        <w:tblW w:w="13884" w:type="dxa"/>
        <w:tblInd w:w="-31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91"/>
        <w:gridCol w:w="2201"/>
        <w:gridCol w:w="5055"/>
        <w:gridCol w:w="2641"/>
        <w:gridCol w:w="1027"/>
        <w:gridCol w:w="1044"/>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tblHeader/>
        </w:trPr>
        <w:tc>
          <w:tcPr>
            <w:tcW w:w="791" w:type="dxa"/>
            <w:vAlign w:val="center"/>
          </w:tcPr>
          <w:p>
            <w:pPr>
              <w:pStyle w:val="15"/>
              <w:widowControl/>
              <w:jc w:val="center"/>
              <w:rPr>
                <w:rFonts w:ascii="Arial" w:hAnsi="Arial" w:cs="Arial"/>
                <w:bCs/>
              </w:rPr>
            </w:pPr>
            <w:r>
              <w:rPr>
                <w:rFonts w:hint="eastAsia" w:ascii="Arial" w:hAnsi="Arial" w:cs="Arial"/>
                <w:bCs/>
              </w:rPr>
              <w:t>序号</w:t>
            </w:r>
          </w:p>
        </w:tc>
        <w:tc>
          <w:tcPr>
            <w:tcW w:w="2201" w:type="dxa"/>
            <w:vAlign w:val="center"/>
          </w:tcPr>
          <w:p>
            <w:pPr>
              <w:pStyle w:val="15"/>
              <w:widowControl/>
              <w:jc w:val="center"/>
              <w:rPr>
                <w:rFonts w:ascii="Arial" w:hAnsi="Arial" w:cs="Arial"/>
                <w:bCs/>
              </w:rPr>
            </w:pPr>
            <w:r>
              <w:rPr>
                <w:rFonts w:hint="eastAsia" w:ascii="Arial" w:hAnsi="Arial" w:cs="Arial"/>
                <w:bCs/>
              </w:rPr>
              <w:t>编号</w:t>
            </w:r>
          </w:p>
        </w:tc>
        <w:tc>
          <w:tcPr>
            <w:tcW w:w="5055" w:type="dxa"/>
            <w:vAlign w:val="center"/>
          </w:tcPr>
          <w:p>
            <w:pPr>
              <w:pStyle w:val="15"/>
              <w:widowControl/>
              <w:jc w:val="center"/>
              <w:rPr>
                <w:rFonts w:ascii="Arial" w:hAnsi="Arial" w:cs="Arial"/>
                <w:bCs/>
              </w:rPr>
            </w:pPr>
            <w:r>
              <w:rPr>
                <w:rFonts w:hint="eastAsia" w:ascii="Arial" w:hAnsi="Arial" w:cs="Arial"/>
                <w:bCs/>
              </w:rPr>
              <w:t>名称</w:t>
            </w:r>
          </w:p>
        </w:tc>
        <w:tc>
          <w:tcPr>
            <w:tcW w:w="2641" w:type="dxa"/>
            <w:vAlign w:val="center"/>
          </w:tcPr>
          <w:p>
            <w:pPr>
              <w:pStyle w:val="15"/>
              <w:widowControl/>
              <w:jc w:val="center"/>
              <w:rPr>
                <w:rFonts w:ascii="Arial" w:hAnsi="Arial" w:cs="Arial"/>
                <w:bCs/>
              </w:rPr>
            </w:pPr>
            <w:r>
              <w:rPr>
                <w:rFonts w:hint="eastAsia" w:ascii="Arial" w:hAnsi="Arial" w:cs="Arial"/>
                <w:bCs/>
              </w:rPr>
              <w:t>所在行政区</w:t>
            </w:r>
          </w:p>
        </w:tc>
        <w:tc>
          <w:tcPr>
            <w:tcW w:w="1027" w:type="dxa"/>
            <w:vAlign w:val="center"/>
          </w:tcPr>
          <w:p>
            <w:pPr>
              <w:pStyle w:val="15"/>
              <w:widowControl/>
              <w:jc w:val="center"/>
              <w:rPr>
                <w:rFonts w:ascii="Arial" w:hAnsi="Arial" w:cs="Arial"/>
                <w:bCs/>
              </w:rPr>
            </w:pPr>
            <w:r>
              <w:rPr>
                <w:rFonts w:hint="eastAsia" w:ascii="Arial" w:hAnsi="Arial" w:cs="Arial"/>
                <w:bCs/>
              </w:rPr>
              <w:t>面积（km</w:t>
            </w:r>
            <w:r>
              <w:rPr>
                <w:rFonts w:hint="eastAsia" w:ascii="Arial" w:hAnsi="Arial" w:cs="Arial"/>
                <w:bCs/>
                <w:vertAlign w:val="superscript"/>
              </w:rPr>
              <w:t>2</w:t>
            </w:r>
            <w:r>
              <w:rPr>
                <w:rFonts w:hint="eastAsia" w:ascii="Arial" w:hAnsi="Arial" w:cs="Arial"/>
                <w:bCs/>
              </w:rPr>
              <w:t>）</w:t>
            </w:r>
          </w:p>
        </w:tc>
        <w:tc>
          <w:tcPr>
            <w:tcW w:w="1044" w:type="dxa"/>
            <w:vAlign w:val="center"/>
          </w:tcPr>
          <w:p>
            <w:pPr>
              <w:pStyle w:val="15"/>
              <w:widowControl/>
              <w:jc w:val="center"/>
              <w:rPr>
                <w:rFonts w:ascii="Arial" w:hAnsi="Arial" w:cs="Arial"/>
                <w:bCs/>
              </w:rPr>
            </w:pPr>
            <w:r>
              <w:rPr>
                <w:rFonts w:hint="eastAsia" w:ascii="Arial" w:hAnsi="Arial" w:cs="Arial"/>
                <w:bCs/>
              </w:rPr>
              <w:t>已设采矿权数</w:t>
            </w:r>
          </w:p>
        </w:tc>
        <w:tc>
          <w:tcPr>
            <w:tcW w:w="1125" w:type="dxa"/>
            <w:vAlign w:val="center"/>
          </w:tcPr>
          <w:p>
            <w:pPr>
              <w:widowControl/>
              <w:jc w:val="center"/>
              <w:textAlignment w:val="center"/>
              <w:rPr>
                <w:rFonts w:ascii="Arial" w:hAnsi="Arial" w:cs="Arial"/>
                <w:bCs/>
                <w:sz w:val="24"/>
              </w:rPr>
            </w:pPr>
            <w:r>
              <w:rPr>
                <w:rFonts w:hint="eastAsia" w:ascii="Arial" w:hAnsi="Arial" w:cs="Arial"/>
                <w:bCs/>
                <w:kern w:val="0"/>
                <w:sz w:val="24"/>
              </w:rPr>
              <w:t>规划开采区块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dxa"/>
            <w:vAlign w:val="center"/>
          </w:tcPr>
          <w:p>
            <w:pPr>
              <w:pStyle w:val="15"/>
              <w:widowControl/>
              <w:jc w:val="center"/>
              <w:rPr>
                <w:rFonts w:ascii="Arial" w:hAnsi="Arial" w:cs="Arial"/>
                <w:bCs/>
              </w:rPr>
            </w:pPr>
            <w:r>
              <w:rPr>
                <w:rFonts w:hint="eastAsia" w:ascii="Arial" w:hAnsi="Arial" w:cs="Arial"/>
                <w:bCs/>
              </w:rPr>
              <w:t>1</w:t>
            </w:r>
          </w:p>
        </w:tc>
        <w:tc>
          <w:tcPr>
            <w:tcW w:w="2201" w:type="dxa"/>
            <w:vAlign w:val="center"/>
          </w:tcPr>
          <w:p>
            <w:pPr>
              <w:pStyle w:val="15"/>
              <w:widowControl/>
              <w:jc w:val="center"/>
              <w:rPr>
                <w:rFonts w:ascii="Arial" w:hAnsi="Arial" w:cs="Arial"/>
                <w:bCs/>
              </w:rPr>
            </w:pPr>
            <w:r>
              <w:rPr>
                <w:rFonts w:hint="eastAsia" w:ascii="Arial" w:hAnsi="Arial" w:cs="Arial"/>
                <w:bCs/>
              </w:rPr>
              <w:t>SC43048100001</w:t>
            </w:r>
          </w:p>
        </w:tc>
        <w:tc>
          <w:tcPr>
            <w:tcW w:w="5055" w:type="dxa"/>
            <w:vAlign w:val="center"/>
          </w:tcPr>
          <w:p>
            <w:pPr>
              <w:pStyle w:val="15"/>
              <w:widowControl/>
              <w:jc w:val="center"/>
              <w:rPr>
                <w:rFonts w:ascii="Arial" w:hAnsi="Arial" w:cs="Arial"/>
                <w:bCs/>
              </w:rPr>
            </w:pPr>
            <w:r>
              <w:rPr>
                <w:rFonts w:hint="eastAsia" w:ascii="Arial" w:hAnsi="Arial" w:cs="Arial"/>
                <w:bCs/>
              </w:rPr>
              <w:t>仁义镇上党村建筑用白云岩允许开采区</w:t>
            </w:r>
          </w:p>
        </w:tc>
        <w:tc>
          <w:tcPr>
            <w:tcW w:w="2641" w:type="dxa"/>
            <w:vAlign w:val="center"/>
          </w:tcPr>
          <w:p>
            <w:pPr>
              <w:pStyle w:val="15"/>
              <w:widowControl/>
              <w:jc w:val="center"/>
              <w:rPr>
                <w:rFonts w:ascii="Arial" w:hAnsi="Arial" w:cs="Arial"/>
                <w:bCs/>
              </w:rPr>
            </w:pPr>
            <w:r>
              <w:rPr>
                <w:rFonts w:hint="eastAsia" w:ascii="Arial" w:hAnsi="Arial" w:cs="Arial"/>
                <w:bCs/>
              </w:rPr>
              <w:t>仁义镇</w:t>
            </w:r>
          </w:p>
        </w:tc>
        <w:tc>
          <w:tcPr>
            <w:tcW w:w="1027" w:type="dxa"/>
            <w:vAlign w:val="center"/>
          </w:tcPr>
          <w:p>
            <w:pPr>
              <w:pStyle w:val="15"/>
              <w:widowControl/>
              <w:jc w:val="center"/>
              <w:rPr>
                <w:rFonts w:ascii="Arial" w:hAnsi="Arial" w:cs="Arial"/>
                <w:bCs/>
              </w:rPr>
            </w:pPr>
            <w:r>
              <w:rPr>
                <w:rFonts w:hint="eastAsia" w:ascii="Arial" w:hAnsi="Arial" w:cs="Arial"/>
                <w:bCs/>
              </w:rPr>
              <w:t>0.08</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dxa"/>
            <w:vAlign w:val="center"/>
          </w:tcPr>
          <w:p>
            <w:pPr>
              <w:pStyle w:val="15"/>
              <w:widowControl/>
              <w:jc w:val="center"/>
              <w:rPr>
                <w:rFonts w:ascii="Arial" w:hAnsi="Arial" w:cs="Arial"/>
                <w:bCs/>
              </w:rPr>
            </w:pPr>
            <w:r>
              <w:rPr>
                <w:rFonts w:hint="eastAsia" w:ascii="Arial" w:hAnsi="Arial" w:cs="Arial"/>
                <w:bCs/>
              </w:rPr>
              <w:t>2</w:t>
            </w:r>
          </w:p>
        </w:tc>
        <w:tc>
          <w:tcPr>
            <w:tcW w:w="2201" w:type="dxa"/>
            <w:vAlign w:val="center"/>
          </w:tcPr>
          <w:p>
            <w:pPr>
              <w:pStyle w:val="15"/>
              <w:widowControl/>
              <w:jc w:val="center"/>
              <w:rPr>
                <w:rFonts w:ascii="Arial" w:hAnsi="Arial" w:cs="Arial"/>
                <w:bCs/>
              </w:rPr>
            </w:pPr>
            <w:r>
              <w:rPr>
                <w:rFonts w:hint="eastAsia" w:ascii="Arial" w:hAnsi="Arial" w:cs="Arial"/>
                <w:bCs/>
              </w:rPr>
              <w:t>SC43048100002</w:t>
            </w:r>
          </w:p>
        </w:tc>
        <w:tc>
          <w:tcPr>
            <w:tcW w:w="5055" w:type="dxa"/>
            <w:vAlign w:val="center"/>
          </w:tcPr>
          <w:p>
            <w:pPr>
              <w:pStyle w:val="15"/>
              <w:widowControl/>
              <w:jc w:val="center"/>
              <w:rPr>
                <w:rFonts w:ascii="Arial" w:hAnsi="Arial" w:cs="Arial"/>
                <w:bCs/>
              </w:rPr>
            </w:pPr>
            <w:r>
              <w:rPr>
                <w:rFonts w:hint="eastAsia" w:ascii="Arial" w:hAnsi="Arial" w:cs="Arial"/>
                <w:bCs/>
              </w:rPr>
              <w:t>公平圩镇横岭村狮子岭村建筑石料用灰岩允许开采区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公平圩镇</w:t>
            </w:r>
          </w:p>
        </w:tc>
        <w:tc>
          <w:tcPr>
            <w:tcW w:w="1027" w:type="dxa"/>
            <w:vAlign w:val="center"/>
          </w:tcPr>
          <w:p>
            <w:pPr>
              <w:pStyle w:val="15"/>
              <w:widowControl/>
              <w:jc w:val="center"/>
              <w:rPr>
                <w:rFonts w:ascii="Arial" w:hAnsi="Arial" w:cs="Arial"/>
                <w:bCs/>
              </w:rPr>
            </w:pPr>
            <w:r>
              <w:rPr>
                <w:rFonts w:hint="eastAsia" w:ascii="Arial" w:hAnsi="Arial" w:cs="Arial"/>
                <w:bCs/>
              </w:rPr>
              <w:t>0.1004</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3</w:t>
            </w:r>
          </w:p>
        </w:tc>
        <w:tc>
          <w:tcPr>
            <w:tcW w:w="2201" w:type="dxa"/>
            <w:vAlign w:val="center"/>
          </w:tcPr>
          <w:p>
            <w:pPr>
              <w:pStyle w:val="15"/>
              <w:widowControl/>
              <w:jc w:val="center"/>
              <w:rPr>
                <w:rFonts w:ascii="Arial" w:hAnsi="Arial" w:cs="Arial"/>
                <w:bCs/>
              </w:rPr>
            </w:pPr>
            <w:r>
              <w:rPr>
                <w:rFonts w:hint="eastAsia" w:ascii="Arial" w:hAnsi="Arial" w:cs="Arial"/>
                <w:bCs/>
              </w:rPr>
              <w:t>SC43048100003</w:t>
            </w:r>
          </w:p>
        </w:tc>
        <w:tc>
          <w:tcPr>
            <w:tcW w:w="5055" w:type="dxa"/>
            <w:vAlign w:val="center"/>
          </w:tcPr>
          <w:p>
            <w:pPr>
              <w:pStyle w:val="15"/>
              <w:widowControl/>
              <w:jc w:val="center"/>
              <w:rPr>
                <w:rFonts w:ascii="Arial" w:hAnsi="Arial" w:cs="Arial"/>
                <w:bCs/>
              </w:rPr>
            </w:pPr>
            <w:r>
              <w:rPr>
                <w:rFonts w:hint="eastAsia" w:ascii="Arial" w:hAnsi="Arial" w:cs="Arial"/>
                <w:bCs/>
              </w:rPr>
              <w:t>公平圩镇横岭村建筑石料用灰岩允许开采区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公平圩镇</w:t>
            </w:r>
          </w:p>
        </w:tc>
        <w:tc>
          <w:tcPr>
            <w:tcW w:w="1027" w:type="dxa"/>
            <w:vAlign w:val="center"/>
          </w:tcPr>
          <w:p>
            <w:pPr>
              <w:pStyle w:val="15"/>
              <w:widowControl/>
              <w:jc w:val="center"/>
              <w:rPr>
                <w:rFonts w:ascii="Arial" w:hAnsi="Arial" w:cs="Arial"/>
                <w:bCs/>
              </w:rPr>
            </w:pPr>
            <w:r>
              <w:rPr>
                <w:rFonts w:hint="eastAsia" w:ascii="Arial" w:hAnsi="Arial" w:cs="Arial"/>
                <w:bCs/>
              </w:rPr>
              <w:t>0.0735</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dxa"/>
            <w:vAlign w:val="center"/>
          </w:tcPr>
          <w:p>
            <w:pPr>
              <w:pStyle w:val="15"/>
              <w:widowControl/>
              <w:jc w:val="center"/>
              <w:rPr>
                <w:rFonts w:ascii="Arial" w:hAnsi="Arial" w:cs="Arial"/>
                <w:bCs/>
              </w:rPr>
            </w:pPr>
            <w:r>
              <w:rPr>
                <w:rFonts w:hint="eastAsia" w:ascii="Arial" w:hAnsi="Arial" w:cs="Arial"/>
                <w:bCs/>
              </w:rPr>
              <w:t>4</w:t>
            </w:r>
          </w:p>
        </w:tc>
        <w:tc>
          <w:tcPr>
            <w:tcW w:w="2201" w:type="dxa"/>
            <w:vAlign w:val="center"/>
          </w:tcPr>
          <w:p>
            <w:pPr>
              <w:pStyle w:val="15"/>
              <w:widowControl/>
              <w:jc w:val="center"/>
              <w:rPr>
                <w:rFonts w:ascii="Arial" w:hAnsi="Arial" w:cs="Arial"/>
                <w:bCs/>
              </w:rPr>
            </w:pPr>
            <w:r>
              <w:rPr>
                <w:rFonts w:hint="eastAsia" w:ascii="Arial" w:hAnsi="Arial" w:cs="Arial"/>
                <w:bCs/>
              </w:rPr>
              <w:t>SC43048100004</w:t>
            </w:r>
          </w:p>
        </w:tc>
        <w:tc>
          <w:tcPr>
            <w:tcW w:w="5055" w:type="dxa"/>
            <w:vAlign w:val="center"/>
          </w:tcPr>
          <w:p>
            <w:pPr>
              <w:pStyle w:val="15"/>
              <w:widowControl/>
              <w:jc w:val="center"/>
              <w:rPr>
                <w:rFonts w:ascii="Arial" w:hAnsi="Arial" w:cs="Arial"/>
                <w:bCs/>
              </w:rPr>
            </w:pPr>
            <w:r>
              <w:rPr>
                <w:rFonts w:hint="eastAsia" w:ascii="Arial" w:hAnsi="Arial" w:cs="Arial"/>
                <w:bCs/>
              </w:rPr>
              <w:t>公平圩镇公平村建筑石料用灰岩允许开采区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公平圩镇</w:t>
            </w:r>
          </w:p>
        </w:tc>
        <w:tc>
          <w:tcPr>
            <w:tcW w:w="1027" w:type="dxa"/>
            <w:vAlign w:val="center"/>
          </w:tcPr>
          <w:p>
            <w:pPr>
              <w:pStyle w:val="15"/>
              <w:widowControl/>
              <w:jc w:val="center"/>
              <w:rPr>
                <w:rFonts w:ascii="Arial" w:hAnsi="Arial" w:cs="Arial"/>
                <w:bCs/>
              </w:rPr>
            </w:pPr>
            <w:r>
              <w:rPr>
                <w:rFonts w:hint="eastAsia" w:ascii="Arial" w:hAnsi="Arial" w:cs="Arial"/>
                <w:bCs/>
              </w:rPr>
              <w:t>0.0683</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4" w:hRule="atLeast"/>
        </w:trPr>
        <w:tc>
          <w:tcPr>
            <w:tcW w:w="791" w:type="dxa"/>
            <w:vAlign w:val="center"/>
          </w:tcPr>
          <w:p>
            <w:pPr>
              <w:pStyle w:val="15"/>
              <w:widowControl/>
              <w:jc w:val="center"/>
              <w:rPr>
                <w:rFonts w:ascii="Arial" w:hAnsi="Arial" w:cs="Arial"/>
                <w:bCs/>
              </w:rPr>
            </w:pPr>
            <w:r>
              <w:rPr>
                <w:rFonts w:hint="eastAsia" w:ascii="Arial" w:hAnsi="Arial" w:cs="Arial"/>
                <w:bCs/>
              </w:rPr>
              <w:t>5</w:t>
            </w:r>
          </w:p>
        </w:tc>
        <w:tc>
          <w:tcPr>
            <w:tcW w:w="2201" w:type="dxa"/>
            <w:vAlign w:val="center"/>
          </w:tcPr>
          <w:p>
            <w:pPr>
              <w:pStyle w:val="15"/>
              <w:widowControl/>
              <w:jc w:val="center"/>
              <w:rPr>
                <w:rFonts w:ascii="Arial" w:hAnsi="Arial" w:cs="Arial"/>
                <w:bCs/>
              </w:rPr>
            </w:pPr>
            <w:r>
              <w:rPr>
                <w:rFonts w:hint="eastAsia" w:ascii="Arial" w:hAnsi="Arial" w:cs="Arial"/>
                <w:bCs/>
              </w:rPr>
              <w:t>SC43048100005</w:t>
            </w:r>
          </w:p>
        </w:tc>
        <w:tc>
          <w:tcPr>
            <w:tcW w:w="5055" w:type="dxa"/>
            <w:vAlign w:val="center"/>
          </w:tcPr>
          <w:p>
            <w:pPr>
              <w:pStyle w:val="15"/>
              <w:widowControl/>
              <w:jc w:val="center"/>
              <w:rPr>
                <w:rFonts w:ascii="Arial" w:hAnsi="Arial" w:cs="Arial"/>
                <w:bCs/>
              </w:rPr>
            </w:pPr>
            <w:r>
              <w:rPr>
                <w:rFonts w:hint="eastAsia" w:ascii="Arial" w:hAnsi="Arial" w:cs="Arial"/>
                <w:bCs/>
              </w:rPr>
              <w:t>公平圩镇百里铺砖瓦用页岩允许开采区</w:t>
            </w:r>
          </w:p>
        </w:tc>
        <w:tc>
          <w:tcPr>
            <w:tcW w:w="2641" w:type="dxa"/>
            <w:vAlign w:val="center"/>
          </w:tcPr>
          <w:p>
            <w:pPr>
              <w:pStyle w:val="15"/>
              <w:widowControl/>
              <w:jc w:val="center"/>
              <w:rPr>
                <w:rFonts w:ascii="Arial" w:hAnsi="Arial" w:cs="Arial"/>
                <w:bCs/>
              </w:rPr>
            </w:pPr>
            <w:r>
              <w:rPr>
                <w:rFonts w:hint="eastAsia" w:ascii="Arial" w:hAnsi="Arial" w:cs="Arial"/>
                <w:bCs/>
              </w:rPr>
              <w:t>公平圩镇</w:t>
            </w:r>
          </w:p>
        </w:tc>
        <w:tc>
          <w:tcPr>
            <w:tcW w:w="1027" w:type="dxa"/>
            <w:vAlign w:val="center"/>
          </w:tcPr>
          <w:p>
            <w:pPr>
              <w:pStyle w:val="15"/>
              <w:widowControl/>
              <w:jc w:val="center"/>
              <w:rPr>
                <w:rFonts w:ascii="Arial" w:hAnsi="Arial" w:cs="Arial"/>
                <w:bCs/>
              </w:rPr>
            </w:pPr>
            <w:r>
              <w:rPr>
                <w:rFonts w:hint="eastAsia" w:ascii="Arial" w:hAnsi="Arial" w:cs="Arial"/>
                <w:bCs/>
              </w:rPr>
              <w:t>0.1074</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6</w:t>
            </w:r>
          </w:p>
        </w:tc>
        <w:tc>
          <w:tcPr>
            <w:tcW w:w="2201" w:type="dxa"/>
            <w:vAlign w:val="center"/>
          </w:tcPr>
          <w:p>
            <w:pPr>
              <w:pStyle w:val="15"/>
              <w:widowControl/>
              <w:jc w:val="center"/>
              <w:rPr>
                <w:rFonts w:ascii="Arial" w:hAnsi="Arial" w:cs="Arial"/>
                <w:bCs/>
              </w:rPr>
            </w:pPr>
            <w:r>
              <w:rPr>
                <w:rFonts w:hint="eastAsia" w:ascii="Arial" w:hAnsi="Arial" w:cs="Arial"/>
                <w:bCs/>
              </w:rPr>
              <w:t>SC43048100006</w:t>
            </w:r>
          </w:p>
        </w:tc>
        <w:tc>
          <w:tcPr>
            <w:tcW w:w="5055" w:type="dxa"/>
            <w:vAlign w:val="center"/>
          </w:tcPr>
          <w:p>
            <w:pPr>
              <w:pStyle w:val="15"/>
              <w:widowControl/>
              <w:jc w:val="center"/>
              <w:rPr>
                <w:rFonts w:ascii="Arial" w:hAnsi="Arial" w:cs="Arial"/>
                <w:bCs/>
              </w:rPr>
            </w:pPr>
            <w:r>
              <w:rPr>
                <w:rFonts w:hint="eastAsia" w:ascii="Arial" w:hAnsi="Arial" w:cs="Arial"/>
                <w:bCs/>
              </w:rPr>
              <w:t>太平圩乡山碧村建筑石料用灰岩允许开采区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太平乡山碧村</w:t>
            </w:r>
          </w:p>
        </w:tc>
        <w:tc>
          <w:tcPr>
            <w:tcW w:w="1027" w:type="dxa"/>
            <w:vAlign w:val="center"/>
          </w:tcPr>
          <w:p>
            <w:pPr>
              <w:pStyle w:val="15"/>
              <w:widowControl/>
              <w:jc w:val="center"/>
              <w:rPr>
                <w:rFonts w:ascii="Arial" w:hAnsi="Arial" w:cs="Arial"/>
                <w:bCs/>
              </w:rPr>
            </w:pPr>
            <w:r>
              <w:rPr>
                <w:rFonts w:hint="eastAsia" w:ascii="Arial" w:hAnsi="Arial" w:cs="Arial"/>
                <w:bCs/>
              </w:rPr>
              <w:t>0.1468</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dxa"/>
            <w:vAlign w:val="center"/>
          </w:tcPr>
          <w:p>
            <w:pPr>
              <w:pStyle w:val="15"/>
              <w:widowControl/>
              <w:jc w:val="center"/>
              <w:rPr>
                <w:rFonts w:ascii="Arial" w:hAnsi="Arial" w:cs="Arial"/>
                <w:bCs/>
              </w:rPr>
            </w:pPr>
            <w:r>
              <w:rPr>
                <w:rFonts w:hint="eastAsia" w:ascii="Arial" w:hAnsi="Arial" w:cs="Arial"/>
                <w:bCs/>
              </w:rPr>
              <w:t>7</w:t>
            </w:r>
          </w:p>
        </w:tc>
        <w:tc>
          <w:tcPr>
            <w:tcW w:w="2201" w:type="dxa"/>
            <w:vAlign w:val="center"/>
          </w:tcPr>
          <w:p>
            <w:pPr>
              <w:pStyle w:val="15"/>
              <w:widowControl/>
              <w:jc w:val="center"/>
              <w:rPr>
                <w:rFonts w:ascii="Arial" w:hAnsi="Arial" w:cs="Arial"/>
                <w:bCs/>
              </w:rPr>
            </w:pPr>
            <w:r>
              <w:rPr>
                <w:rFonts w:hint="eastAsia" w:ascii="Arial" w:hAnsi="Arial" w:cs="Arial"/>
                <w:bCs/>
              </w:rPr>
              <w:t>SC43048100007</w:t>
            </w:r>
          </w:p>
        </w:tc>
        <w:tc>
          <w:tcPr>
            <w:tcW w:w="5055" w:type="dxa"/>
            <w:vAlign w:val="center"/>
          </w:tcPr>
          <w:p>
            <w:pPr>
              <w:pStyle w:val="15"/>
              <w:widowControl/>
              <w:jc w:val="center"/>
              <w:rPr>
                <w:rFonts w:ascii="Arial" w:hAnsi="Arial" w:cs="Arial"/>
                <w:bCs/>
              </w:rPr>
            </w:pPr>
            <w:r>
              <w:rPr>
                <w:rFonts w:hint="eastAsia" w:ascii="Arial" w:hAnsi="Arial" w:cs="Arial"/>
                <w:bCs/>
              </w:rPr>
              <w:t>长坪乡高峰村建筑石料用灰岩允许开采区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长坪乡高峰村</w:t>
            </w:r>
          </w:p>
        </w:tc>
        <w:tc>
          <w:tcPr>
            <w:tcW w:w="1027" w:type="dxa"/>
            <w:vAlign w:val="center"/>
          </w:tcPr>
          <w:p>
            <w:pPr>
              <w:pStyle w:val="15"/>
              <w:widowControl/>
              <w:jc w:val="center"/>
              <w:rPr>
                <w:rFonts w:ascii="Arial" w:hAnsi="Arial" w:cs="Arial"/>
                <w:bCs/>
              </w:rPr>
            </w:pPr>
            <w:r>
              <w:rPr>
                <w:rFonts w:hint="eastAsia" w:ascii="Arial" w:hAnsi="Arial" w:cs="Arial"/>
                <w:bCs/>
              </w:rPr>
              <w:t>0.2338</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dxa"/>
            <w:vAlign w:val="center"/>
          </w:tcPr>
          <w:p>
            <w:pPr>
              <w:pStyle w:val="15"/>
              <w:widowControl/>
              <w:jc w:val="center"/>
              <w:rPr>
                <w:rFonts w:ascii="Arial" w:hAnsi="Arial" w:cs="Arial"/>
                <w:bCs/>
              </w:rPr>
            </w:pPr>
            <w:r>
              <w:rPr>
                <w:rFonts w:hint="eastAsia" w:ascii="Arial" w:hAnsi="Arial" w:cs="Arial"/>
                <w:bCs/>
              </w:rPr>
              <w:t>8</w:t>
            </w:r>
          </w:p>
        </w:tc>
        <w:tc>
          <w:tcPr>
            <w:tcW w:w="2201" w:type="dxa"/>
            <w:vAlign w:val="center"/>
          </w:tcPr>
          <w:p>
            <w:pPr>
              <w:pStyle w:val="15"/>
              <w:widowControl/>
              <w:jc w:val="center"/>
              <w:rPr>
                <w:rFonts w:ascii="Arial" w:hAnsi="Arial" w:cs="Arial"/>
                <w:bCs/>
              </w:rPr>
            </w:pPr>
            <w:r>
              <w:rPr>
                <w:rFonts w:hint="eastAsia" w:ascii="Arial" w:hAnsi="Arial" w:cs="Arial"/>
                <w:bCs/>
              </w:rPr>
              <w:t>SC43048100008</w:t>
            </w:r>
          </w:p>
        </w:tc>
        <w:tc>
          <w:tcPr>
            <w:tcW w:w="5055" w:type="dxa"/>
            <w:vAlign w:val="center"/>
          </w:tcPr>
          <w:p>
            <w:pPr>
              <w:pStyle w:val="15"/>
              <w:widowControl/>
              <w:jc w:val="center"/>
              <w:rPr>
                <w:rFonts w:ascii="Arial" w:hAnsi="Arial" w:cs="Arial"/>
                <w:bCs/>
              </w:rPr>
            </w:pPr>
            <w:r>
              <w:rPr>
                <w:rFonts w:hint="eastAsia" w:ascii="Arial" w:hAnsi="Arial" w:cs="Arial"/>
                <w:bCs/>
              </w:rPr>
              <w:t>长坪乡黄龙村建筑石料用灰岩允许开采区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长坪乡黄龙村</w:t>
            </w:r>
          </w:p>
        </w:tc>
        <w:tc>
          <w:tcPr>
            <w:tcW w:w="1027" w:type="dxa"/>
            <w:vAlign w:val="center"/>
          </w:tcPr>
          <w:p>
            <w:pPr>
              <w:pStyle w:val="15"/>
              <w:widowControl/>
              <w:jc w:val="center"/>
              <w:rPr>
                <w:rFonts w:ascii="Arial" w:hAnsi="Arial" w:cs="Arial"/>
                <w:bCs/>
              </w:rPr>
            </w:pPr>
            <w:r>
              <w:rPr>
                <w:rFonts w:hint="eastAsia" w:ascii="Arial" w:hAnsi="Arial" w:cs="Arial"/>
                <w:bCs/>
              </w:rPr>
              <w:t>0.24</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8" w:hRule="atLeast"/>
        </w:trPr>
        <w:tc>
          <w:tcPr>
            <w:tcW w:w="791" w:type="dxa"/>
            <w:vAlign w:val="center"/>
          </w:tcPr>
          <w:p>
            <w:pPr>
              <w:pStyle w:val="15"/>
              <w:widowControl/>
              <w:jc w:val="center"/>
              <w:rPr>
                <w:rFonts w:ascii="Arial" w:hAnsi="Arial" w:cs="Arial"/>
                <w:bCs/>
              </w:rPr>
            </w:pPr>
            <w:r>
              <w:rPr>
                <w:rFonts w:hint="eastAsia" w:ascii="Arial" w:hAnsi="Arial" w:cs="Arial"/>
                <w:bCs/>
              </w:rPr>
              <w:t>9</w:t>
            </w:r>
          </w:p>
        </w:tc>
        <w:tc>
          <w:tcPr>
            <w:tcW w:w="2201" w:type="dxa"/>
            <w:vAlign w:val="center"/>
          </w:tcPr>
          <w:p>
            <w:pPr>
              <w:pStyle w:val="15"/>
              <w:widowControl/>
              <w:jc w:val="center"/>
              <w:rPr>
                <w:rFonts w:ascii="Arial" w:hAnsi="Arial" w:cs="Arial"/>
                <w:bCs/>
              </w:rPr>
            </w:pPr>
            <w:r>
              <w:rPr>
                <w:rFonts w:hint="eastAsia" w:ascii="Arial" w:hAnsi="Arial" w:cs="Arial"/>
                <w:bCs/>
              </w:rPr>
              <w:t>SC43048100009</w:t>
            </w:r>
          </w:p>
        </w:tc>
        <w:tc>
          <w:tcPr>
            <w:tcW w:w="5055" w:type="dxa"/>
            <w:vAlign w:val="center"/>
          </w:tcPr>
          <w:p>
            <w:pPr>
              <w:pStyle w:val="15"/>
              <w:widowControl/>
              <w:jc w:val="center"/>
              <w:rPr>
                <w:rFonts w:ascii="Arial" w:hAnsi="Arial" w:cs="Arial"/>
                <w:bCs/>
              </w:rPr>
            </w:pPr>
            <w:r>
              <w:rPr>
                <w:rFonts w:hint="eastAsia" w:ascii="Arial" w:hAnsi="Arial" w:cs="Arial"/>
                <w:bCs/>
              </w:rPr>
              <w:t>余庆街道办事处西冲村6组建筑石料用灰岩允许开采区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余庆街道办事处西冲村</w:t>
            </w:r>
          </w:p>
        </w:tc>
        <w:tc>
          <w:tcPr>
            <w:tcW w:w="1027" w:type="dxa"/>
            <w:vAlign w:val="center"/>
          </w:tcPr>
          <w:p>
            <w:pPr>
              <w:pStyle w:val="15"/>
              <w:widowControl/>
              <w:jc w:val="center"/>
              <w:rPr>
                <w:rFonts w:ascii="Arial" w:hAnsi="Arial" w:cs="Arial"/>
                <w:bCs/>
              </w:rPr>
            </w:pPr>
            <w:r>
              <w:rPr>
                <w:rFonts w:hint="eastAsia" w:ascii="Arial" w:hAnsi="Arial" w:cs="Arial"/>
                <w:bCs/>
              </w:rPr>
              <w:t>0.1203</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10</w:t>
            </w:r>
          </w:p>
        </w:tc>
        <w:tc>
          <w:tcPr>
            <w:tcW w:w="2201" w:type="dxa"/>
            <w:vAlign w:val="center"/>
          </w:tcPr>
          <w:p>
            <w:pPr>
              <w:pStyle w:val="15"/>
              <w:widowControl/>
              <w:jc w:val="center"/>
              <w:rPr>
                <w:rFonts w:ascii="Arial" w:hAnsi="Arial" w:cs="Arial"/>
                <w:bCs/>
              </w:rPr>
            </w:pPr>
            <w:r>
              <w:rPr>
                <w:rFonts w:hint="eastAsia" w:ascii="Arial" w:hAnsi="Arial" w:cs="Arial"/>
                <w:bCs/>
              </w:rPr>
              <w:t>SC430481000010</w:t>
            </w:r>
          </w:p>
        </w:tc>
        <w:tc>
          <w:tcPr>
            <w:tcW w:w="5055" w:type="dxa"/>
            <w:vAlign w:val="center"/>
          </w:tcPr>
          <w:p>
            <w:pPr>
              <w:pStyle w:val="15"/>
              <w:widowControl/>
              <w:jc w:val="center"/>
              <w:rPr>
                <w:rFonts w:ascii="Arial" w:hAnsi="Arial" w:cs="Arial"/>
                <w:bCs/>
              </w:rPr>
            </w:pPr>
            <w:r>
              <w:rPr>
                <w:rFonts w:hint="eastAsia" w:ascii="Arial" w:hAnsi="Arial" w:cs="Arial"/>
                <w:bCs/>
              </w:rPr>
              <w:t>余庆街道办事处西冲村7组建筑石料用灰岩允许开采区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余庆街道办事处西冲村</w:t>
            </w:r>
          </w:p>
        </w:tc>
        <w:tc>
          <w:tcPr>
            <w:tcW w:w="1027" w:type="dxa"/>
            <w:vAlign w:val="center"/>
          </w:tcPr>
          <w:p>
            <w:pPr>
              <w:pStyle w:val="15"/>
              <w:widowControl/>
              <w:jc w:val="center"/>
              <w:rPr>
                <w:rFonts w:ascii="Arial" w:hAnsi="Arial" w:cs="Arial"/>
                <w:bCs/>
              </w:rPr>
            </w:pPr>
            <w:r>
              <w:rPr>
                <w:rFonts w:hint="eastAsia" w:ascii="Arial" w:hAnsi="Arial" w:cs="Arial"/>
                <w:bCs/>
              </w:rPr>
              <w:t>0.1203</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11</w:t>
            </w:r>
          </w:p>
        </w:tc>
        <w:tc>
          <w:tcPr>
            <w:tcW w:w="2201" w:type="dxa"/>
            <w:vAlign w:val="center"/>
          </w:tcPr>
          <w:p>
            <w:pPr>
              <w:pStyle w:val="15"/>
              <w:widowControl/>
              <w:jc w:val="center"/>
              <w:rPr>
                <w:rFonts w:ascii="Arial" w:hAnsi="Arial" w:cs="Arial"/>
                <w:bCs/>
              </w:rPr>
            </w:pPr>
            <w:r>
              <w:rPr>
                <w:rFonts w:hint="eastAsia" w:ascii="Arial" w:hAnsi="Arial" w:cs="Arial"/>
                <w:bCs/>
              </w:rPr>
              <w:t>SC430481000011</w:t>
            </w:r>
          </w:p>
        </w:tc>
        <w:tc>
          <w:tcPr>
            <w:tcW w:w="5055" w:type="dxa"/>
            <w:vAlign w:val="center"/>
          </w:tcPr>
          <w:p>
            <w:pPr>
              <w:pStyle w:val="15"/>
              <w:widowControl/>
              <w:jc w:val="center"/>
              <w:rPr>
                <w:rFonts w:ascii="Arial" w:hAnsi="Arial" w:cs="Arial"/>
                <w:bCs/>
              </w:rPr>
            </w:pPr>
            <w:r>
              <w:rPr>
                <w:rFonts w:hint="eastAsia" w:ascii="Arial" w:hAnsi="Arial" w:cs="Arial"/>
                <w:bCs/>
              </w:rPr>
              <w:t>小水镇嘹亮村建筑石料用灰岩允许开采区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小水镇嘹亮村</w:t>
            </w:r>
          </w:p>
        </w:tc>
        <w:tc>
          <w:tcPr>
            <w:tcW w:w="1027" w:type="dxa"/>
            <w:vAlign w:val="center"/>
          </w:tcPr>
          <w:p>
            <w:pPr>
              <w:pStyle w:val="15"/>
              <w:widowControl/>
              <w:jc w:val="center"/>
              <w:rPr>
                <w:rFonts w:ascii="Arial" w:hAnsi="Arial" w:cs="Arial"/>
                <w:bCs/>
              </w:rPr>
            </w:pPr>
            <w:r>
              <w:rPr>
                <w:rFonts w:hint="eastAsia" w:ascii="Arial" w:hAnsi="Arial" w:cs="Arial"/>
                <w:bCs/>
              </w:rPr>
              <w:t>0.68</w:t>
            </w:r>
          </w:p>
        </w:tc>
        <w:tc>
          <w:tcPr>
            <w:tcW w:w="1044" w:type="dxa"/>
            <w:vAlign w:val="center"/>
          </w:tcPr>
          <w:p>
            <w:pPr>
              <w:pStyle w:val="15"/>
              <w:widowControl/>
              <w:jc w:val="center"/>
              <w:rPr>
                <w:rFonts w:ascii="Arial" w:hAnsi="Arial" w:cs="Arial"/>
                <w:bCs/>
              </w:rPr>
            </w:pPr>
            <w:r>
              <w:rPr>
                <w:rFonts w:hint="eastAsia" w:ascii="Arial" w:hAnsi="Arial" w:cs="Arial"/>
                <w:bCs/>
              </w:rPr>
              <w:t>2</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12</w:t>
            </w:r>
          </w:p>
        </w:tc>
        <w:tc>
          <w:tcPr>
            <w:tcW w:w="2201" w:type="dxa"/>
            <w:vAlign w:val="center"/>
          </w:tcPr>
          <w:p>
            <w:pPr>
              <w:pStyle w:val="15"/>
              <w:widowControl/>
              <w:jc w:val="center"/>
              <w:rPr>
                <w:rFonts w:ascii="Arial" w:hAnsi="Arial" w:cs="Arial"/>
                <w:bCs/>
              </w:rPr>
            </w:pPr>
            <w:r>
              <w:rPr>
                <w:rFonts w:hint="eastAsia" w:ascii="Arial" w:hAnsi="Arial" w:cs="Arial"/>
                <w:bCs/>
              </w:rPr>
              <w:t>SC430481000012</w:t>
            </w:r>
          </w:p>
        </w:tc>
        <w:tc>
          <w:tcPr>
            <w:tcW w:w="5055" w:type="dxa"/>
            <w:vAlign w:val="center"/>
          </w:tcPr>
          <w:p>
            <w:pPr>
              <w:pStyle w:val="15"/>
              <w:widowControl/>
              <w:jc w:val="center"/>
              <w:rPr>
                <w:rFonts w:ascii="Arial" w:hAnsi="Arial" w:cs="Arial"/>
                <w:bCs/>
              </w:rPr>
            </w:pPr>
            <w:r>
              <w:rPr>
                <w:rFonts w:hint="eastAsia" w:ascii="Arial" w:hAnsi="Arial" w:cs="Arial"/>
                <w:bCs/>
              </w:rPr>
              <w:t>小水镇杨塘村建筑石料用灰岩允许开采区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小水镇杨塘村</w:t>
            </w:r>
          </w:p>
        </w:tc>
        <w:tc>
          <w:tcPr>
            <w:tcW w:w="1027" w:type="dxa"/>
            <w:vAlign w:val="center"/>
          </w:tcPr>
          <w:p>
            <w:pPr>
              <w:pStyle w:val="15"/>
              <w:widowControl/>
              <w:jc w:val="center"/>
              <w:rPr>
                <w:rFonts w:ascii="Arial" w:hAnsi="Arial" w:cs="Arial"/>
                <w:bCs/>
              </w:rPr>
            </w:pPr>
            <w:r>
              <w:rPr>
                <w:rFonts w:hint="eastAsia" w:ascii="Arial" w:hAnsi="Arial" w:cs="Arial"/>
                <w:bCs/>
              </w:rPr>
              <w:t>0.048</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13</w:t>
            </w:r>
          </w:p>
        </w:tc>
        <w:tc>
          <w:tcPr>
            <w:tcW w:w="2201" w:type="dxa"/>
            <w:vAlign w:val="center"/>
          </w:tcPr>
          <w:p>
            <w:pPr>
              <w:pStyle w:val="15"/>
              <w:widowControl/>
              <w:jc w:val="center"/>
              <w:rPr>
                <w:rFonts w:ascii="Arial" w:hAnsi="Arial" w:cs="Arial"/>
                <w:bCs/>
              </w:rPr>
            </w:pPr>
            <w:r>
              <w:rPr>
                <w:rFonts w:hint="eastAsia" w:ascii="Arial" w:hAnsi="Arial" w:cs="Arial"/>
                <w:bCs/>
              </w:rPr>
              <w:t>SC43048100013</w:t>
            </w:r>
          </w:p>
        </w:tc>
        <w:tc>
          <w:tcPr>
            <w:tcW w:w="5055" w:type="dxa"/>
            <w:vAlign w:val="center"/>
          </w:tcPr>
          <w:p>
            <w:pPr>
              <w:pStyle w:val="15"/>
              <w:widowControl/>
              <w:jc w:val="center"/>
              <w:rPr>
                <w:rFonts w:ascii="Arial" w:hAnsi="Arial" w:cs="Arial"/>
                <w:bCs/>
              </w:rPr>
            </w:pPr>
            <w:r>
              <w:rPr>
                <w:rFonts w:hint="eastAsia" w:ascii="Arial" w:hAnsi="Arial" w:cs="Arial"/>
                <w:bCs/>
              </w:rPr>
              <w:t>余庆街道办事处王石村建筑石料用灰岩允许开采区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余庆街道办事处王石</w:t>
            </w:r>
          </w:p>
        </w:tc>
        <w:tc>
          <w:tcPr>
            <w:tcW w:w="1027" w:type="dxa"/>
            <w:vAlign w:val="center"/>
          </w:tcPr>
          <w:p>
            <w:pPr>
              <w:pStyle w:val="15"/>
              <w:widowControl/>
              <w:jc w:val="center"/>
              <w:rPr>
                <w:rFonts w:ascii="Arial" w:hAnsi="Arial" w:cs="Arial"/>
                <w:bCs/>
              </w:rPr>
            </w:pPr>
            <w:r>
              <w:rPr>
                <w:rFonts w:hint="eastAsia" w:ascii="Arial" w:hAnsi="Arial" w:cs="Arial"/>
                <w:bCs/>
              </w:rPr>
              <w:t>0.3566</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 xml:space="preserve">备选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14</w:t>
            </w:r>
          </w:p>
        </w:tc>
        <w:tc>
          <w:tcPr>
            <w:tcW w:w="2201" w:type="dxa"/>
            <w:vAlign w:val="center"/>
          </w:tcPr>
          <w:p>
            <w:pPr>
              <w:pStyle w:val="15"/>
              <w:widowControl/>
              <w:jc w:val="center"/>
              <w:rPr>
                <w:rFonts w:ascii="Arial" w:hAnsi="Arial" w:cs="Arial"/>
                <w:bCs/>
              </w:rPr>
            </w:pPr>
            <w:r>
              <w:rPr>
                <w:rFonts w:hint="eastAsia" w:ascii="Arial" w:hAnsi="Arial" w:cs="Arial"/>
                <w:bCs/>
              </w:rPr>
              <w:t>SC43048100014</w:t>
            </w:r>
          </w:p>
        </w:tc>
        <w:tc>
          <w:tcPr>
            <w:tcW w:w="5055" w:type="dxa"/>
            <w:vAlign w:val="center"/>
          </w:tcPr>
          <w:p>
            <w:pPr>
              <w:pStyle w:val="15"/>
              <w:widowControl/>
              <w:jc w:val="center"/>
              <w:rPr>
                <w:rFonts w:ascii="Arial" w:hAnsi="Arial" w:cs="Arial"/>
                <w:bCs/>
              </w:rPr>
            </w:pPr>
            <w:r>
              <w:rPr>
                <w:rFonts w:hint="eastAsia" w:ascii="Arial" w:hAnsi="Arial" w:cs="Arial"/>
                <w:bCs/>
              </w:rPr>
              <w:t>余庆街道办事处东塘村建筑石料用灰岩允许开采区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余庆街道办事处东塘</w:t>
            </w:r>
          </w:p>
        </w:tc>
        <w:tc>
          <w:tcPr>
            <w:tcW w:w="1027" w:type="dxa"/>
            <w:vAlign w:val="center"/>
          </w:tcPr>
          <w:p>
            <w:pPr>
              <w:pStyle w:val="15"/>
              <w:widowControl/>
              <w:jc w:val="center"/>
              <w:rPr>
                <w:rFonts w:ascii="Arial" w:hAnsi="Arial" w:cs="Arial"/>
                <w:bCs/>
              </w:rPr>
            </w:pPr>
            <w:r>
              <w:rPr>
                <w:rFonts w:hint="eastAsia" w:ascii="Arial" w:hAnsi="Arial" w:cs="Arial"/>
                <w:bCs/>
              </w:rPr>
              <w:t>0.2213</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 xml:space="preserve">备选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15</w:t>
            </w:r>
          </w:p>
        </w:tc>
        <w:tc>
          <w:tcPr>
            <w:tcW w:w="2201" w:type="dxa"/>
            <w:vAlign w:val="center"/>
          </w:tcPr>
          <w:p>
            <w:pPr>
              <w:pStyle w:val="15"/>
              <w:widowControl/>
              <w:jc w:val="center"/>
              <w:rPr>
                <w:rFonts w:ascii="Arial" w:hAnsi="Arial" w:cs="Arial"/>
                <w:bCs/>
              </w:rPr>
            </w:pPr>
            <w:r>
              <w:rPr>
                <w:rFonts w:hint="eastAsia" w:ascii="Arial" w:hAnsi="Arial" w:cs="Arial"/>
                <w:bCs/>
              </w:rPr>
              <w:t>SC43048100015</w:t>
            </w:r>
          </w:p>
        </w:tc>
        <w:tc>
          <w:tcPr>
            <w:tcW w:w="5055" w:type="dxa"/>
            <w:vAlign w:val="center"/>
          </w:tcPr>
          <w:p>
            <w:pPr>
              <w:pStyle w:val="15"/>
              <w:widowControl/>
              <w:jc w:val="center"/>
              <w:rPr>
                <w:rFonts w:ascii="Arial" w:hAnsi="Arial" w:cs="Arial"/>
                <w:bCs/>
              </w:rPr>
            </w:pPr>
            <w:r>
              <w:rPr>
                <w:rFonts w:hint="eastAsia" w:ascii="Arial" w:hAnsi="Arial" w:cs="Arial"/>
                <w:bCs/>
              </w:rPr>
              <w:t>余庆街道办事处磨形村建筑石料用灰岩允许开采区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余庆街道办事处磨形</w:t>
            </w:r>
          </w:p>
        </w:tc>
        <w:tc>
          <w:tcPr>
            <w:tcW w:w="1027" w:type="dxa"/>
            <w:vAlign w:val="center"/>
          </w:tcPr>
          <w:p>
            <w:pPr>
              <w:pStyle w:val="15"/>
              <w:widowControl/>
              <w:jc w:val="center"/>
              <w:rPr>
                <w:rFonts w:ascii="Arial" w:hAnsi="Arial" w:cs="Arial"/>
                <w:bCs/>
              </w:rPr>
            </w:pPr>
            <w:r>
              <w:rPr>
                <w:rFonts w:hint="eastAsia" w:ascii="Arial" w:hAnsi="Arial" w:cs="Arial"/>
                <w:bCs/>
              </w:rPr>
              <w:t>0.3249</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16</w:t>
            </w:r>
          </w:p>
        </w:tc>
        <w:tc>
          <w:tcPr>
            <w:tcW w:w="2201" w:type="dxa"/>
            <w:vAlign w:val="center"/>
          </w:tcPr>
          <w:p>
            <w:pPr>
              <w:pStyle w:val="15"/>
              <w:widowControl/>
              <w:jc w:val="center"/>
              <w:rPr>
                <w:rFonts w:ascii="Arial" w:hAnsi="Arial" w:cs="Arial"/>
                <w:bCs/>
              </w:rPr>
            </w:pPr>
            <w:r>
              <w:rPr>
                <w:rFonts w:hint="eastAsia" w:ascii="Arial" w:hAnsi="Arial" w:cs="Arial"/>
                <w:bCs/>
              </w:rPr>
              <w:t>SC43048100016</w:t>
            </w:r>
          </w:p>
        </w:tc>
        <w:tc>
          <w:tcPr>
            <w:tcW w:w="5055" w:type="dxa"/>
            <w:vAlign w:val="center"/>
          </w:tcPr>
          <w:p>
            <w:pPr>
              <w:pStyle w:val="15"/>
              <w:widowControl/>
              <w:jc w:val="center"/>
              <w:rPr>
                <w:rFonts w:ascii="Arial" w:hAnsi="Arial" w:cs="Arial"/>
                <w:bCs/>
              </w:rPr>
            </w:pPr>
            <w:r>
              <w:rPr>
                <w:rFonts w:hint="eastAsia" w:ascii="Arial" w:hAnsi="Arial" w:cs="Arial"/>
                <w:bCs/>
              </w:rPr>
              <w:t>余庆街道办事处南桥村11组建筑石料用灰岩允许开采区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余庆街道办事处南桥村</w:t>
            </w:r>
          </w:p>
        </w:tc>
        <w:tc>
          <w:tcPr>
            <w:tcW w:w="1027" w:type="dxa"/>
            <w:vAlign w:val="center"/>
          </w:tcPr>
          <w:p>
            <w:pPr>
              <w:pStyle w:val="15"/>
              <w:widowControl/>
              <w:jc w:val="center"/>
              <w:rPr>
                <w:rFonts w:ascii="Arial" w:hAnsi="Arial" w:cs="Arial"/>
                <w:bCs/>
              </w:rPr>
            </w:pPr>
            <w:r>
              <w:rPr>
                <w:rFonts w:hint="eastAsia" w:ascii="Arial" w:hAnsi="Arial" w:cs="Arial"/>
                <w:bCs/>
              </w:rPr>
              <w:t>0.2966</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17</w:t>
            </w:r>
          </w:p>
        </w:tc>
        <w:tc>
          <w:tcPr>
            <w:tcW w:w="2201" w:type="dxa"/>
            <w:vAlign w:val="center"/>
          </w:tcPr>
          <w:p>
            <w:pPr>
              <w:pStyle w:val="15"/>
              <w:widowControl/>
              <w:jc w:val="center"/>
              <w:rPr>
                <w:rFonts w:ascii="Arial" w:hAnsi="Arial" w:cs="Arial"/>
                <w:bCs/>
              </w:rPr>
            </w:pPr>
            <w:r>
              <w:rPr>
                <w:rFonts w:hint="eastAsia" w:ascii="Arial" w:hAnsi="Arial" w:cs="Arial"/>
                <w:bCs/>
              </w:rPr>
              <w:t>SC43048100017</w:t>
            </w:r>
          </w:p>
        </w:tc>
        <w:tc>
          <w:tcPr>
            <w:tcW w:w="5055" w:type="dxa"/>
            <w:vAlign w:val="center"/>
          </w:tcPr>
          <w:p>
            <w:pPr>
              <w:pStyle w:val="15"/>
              <w:widowControl/>
              <w:jc w:val="center"/>
              <w:rPr>
                <w:rFonts w:ascii="Arial" w:hAnsi="Arial" w:cs="Arial"/>
                <w:bCs/>
              </w:rPr>
            </w:pPr>
            <w:r>
              <w:rPr>
                <w:rFonts w:hint="eastAsia" w:ascii="Arial" w:hAnsi="Arial" w:cs="Arial"/>
                <w:bCs/>
              </w:rPr>
              <w:t>余庆街道办事处同仁村梓园组建筑石料用灰岩允许开采区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余庆街道办事处同仁村</w:t>
            </w:r>
          </w:p>
        </w:tc>
        <w:tc>
          <w:tcPr>
            <w:tcW w:w="1027" w:type="dxa"/>
            <w:vAlign w:val="center"/>
          </w:tcPr>
          <w:p>
            <w:pPr>
              <w:pStyle w:val="15"/>
              <w:widowControl/>
              <w:jc w:val="center"/>
              <w:rPr>
                <w:rFonts w:ascii="Arial" w:hAnsi="Arial" w:cs="Arial"/>
                <w:bCs/>
              </w:rPr>
            </w:pPr>
            <w:r>
              <w:rPr>
                <w:rFonts w:hint="eastAsia" w:ascii="Arial" w:hAnsi="Arial" w:cs="Arial"/>
                <w:bCs/>
              </w:rPr>
              <w:t>0.1761</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18</w:t>
            </w:r>
          </w:p>
        </w:tc>
        <w:tc>
          <w:tcPr>
            <w:tcW w:w="2201" w:type="dxa"/>
            <w:vAlign w:val="center"/>
          </w:tcPr>
          <w:p>
            <w:pPr>
              <w:pStyle w:val="15"/>
              <w:widowControl/>
              <w:jc w:val="center"/>
              <w:rPr>
                <w:rFonts w:ascii="Arial" w:hAnsi="Arial" w:cs="Arial"/>
                <w:bCs/>
              </w:rPr>
            </w:pPr>
            <w:r>
              <w:rPr>
                <w:rFonts w:hint="eastAsia" w:ascii="Arial" w:hAnsi="Arial" w:cs="Arial"/>
                <w:bCs/>
              </w:rPr>
              <w:t>SC43048100018</w:t>
            </w:r>
          </w:p>
        </w:tc>
        <w:tc>
          <w:tcPr>
            <w:tcW w:w="5055" w:type="dxa"/>
            <w:vAlign w:val="center"/>
          </w:tcPr>
          <w:p>
            <w:pPr>
              <w:pStyle w:val="15"/>
              <w:widowControl/>
              <w:jc w:val="center"/>
              <w:rPr>
                <w:rFonts w:ascii="Arial" w:hAnsi="Arial" w:cs="Arial"/>
                <w:bCs/>
              </w:rPr>
            </w:pPr>
            <w:r>
              <w:rPr>
                <w:rFonts w:hint="eastAsia" w:ascii="Arial" w:hAnsi="Arial" w:cs="Arial"/>
                <w:bCs/>
              </w:rPr>
              <w:t>余庆街道办事处栗树村建筑石料用灰岩允许开采区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余庆街道办事处栗树村</w:t>
            </w:r>
          </w:p>
        </w:tc>
        <w:tc>
          <w:tcPr>
            <w:tcW w:w="1027" w:type="dxa"/>
            <w:vAlign w:val="center"/>
          </w:tcPr>
          <w:p>
            <w:pPr>
              <w:pStyle w:val="15"/>
              <w:widowControl/>
              <w:jc w:val="center"/>
              <w:rPr>
                <w:rFonts w:ascii="Arial" w:hAnsi="Arial" w:cs="Arial"/>
                <w:bCs/>
              </w:rPr>
            </w:pPr>
            <w:r>
              <w:rPr>
                <w:rFonts w:hint="eastAsia" w:ascii="Arial" w:hAnsi="Arial" w:cs="Arial"/>
                <w:bCs/>
              </w:rPr>
              <w:t>0.1035</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19</w:t>
            </w:r>
          </w:p>
        </w:tc>
        <w:tc>
          <w:tcPr>
            <w:tcW w:w="2201" w:type="dxa"/>
            <w:vAlign w:val="center"/>
          </w:tcPr>
          <w:p>
            <w:pPr>
              <w:pStyle w:val="15"/>
              <w:widowControl/>
              <w:jc w:val="center"/>
              <w:rPr>
                <w:rFonts w:ascii="Arial" w:hAnsi="Arial" w:cs="Arial"/>
                <w:bCs/>
              </w:rPr>
            </w:pPr>
            <w:r>
              <w:rPr>
                <w:rFonts w:hint="eastAsia" w:ascii="Arial" w:hAnsi="Arial" w:cs="Arial"/>
                <w:bCs/>
              </w:rPr>
              <w:t>SC43048100019</w:t>
            </w:r>
          </w:p>
        </w:tc>
        <w:tc>
          <w:tcPr>
            <w:tcW w:w="5055" w:type="dxa"/>
            <w:vAlign w:val="center"/>
          </w:tcPr>
          <w:p>
            <w:pPr>
              <w:pStyle w:val="15"/>
              <w:widowControl/>
              <w:jc w:val="center"/>
              <w:rPr>
                <w:rFonts w:ascii="Arial" w:hAnsi="Arial" w:cs="Arial"/>
                <w:bCs/>
              </w:rPr>
            </w:pPr>
            <w:r>
              <w:rPr>
                <w:rFonts w:hint="eastAsia" w:ascii="Arial" w:hAnsi="Arial" w:cs="Arial"/>
                <w:bCs/>
              </w:rPr>
              <w:t>余庆街道办事处同仁村龙归塘组建筑石料用灰岩允许开采区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余庆街道办事处同仁村</w:t>
            </w:r>
          </w:p>
        </w:tc>
        <w:tc>
          <w:tcPr>
            <w:tcW w:w="1027" w:type="dxa"/>
            <w:vAlign w:val="center"/>
          </w:tcPr>
          <w:p>
            <w:pPr>
              <w:pStyle w:val="15"/>
              <w:widowControl/>
              <w:jc w:val="center"/>
              <w:rPr>
                <w:rFonts w:ascii="Arial" w:hAnsi="Arial" w:cs="Arial"/>
                <w:bCs/>
              </w:rPr>
            </w:pPr>
            <w:r>
              <w:rPr>
                <w:rFonts w:hint="eastAsia" w:ascii="Arial" w:hAnsi="Arial" w:cs="Arial"/>
                <w:bCs/>
              </w:rPr>
              <w:t>0.212</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 xml:space="preserve">备选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20</w:t>
            </w:r>
          </w:p>
        </w:tc>
        <w:tc>
          <w:tcPr>
            <w:tcW w:w="2201" w:type="dxa"/>
            <w:vAlign w:val="center"/>
          </w:tcPr>
          <w:p>
            <w:pPr>
              <w:pStyle w:val="15"/>
              <w:widowControl/>
              <w:jc w:val="center"/>
              <w:rPr>
                <w:rFonts w:ascii="Arial" w:hAnsi="Arial" w:cs="Arial"/>
                <w:bCs/>
              </w:rPr>
            </w:pPr>
            <w:r>
              <w:rPr>
                <w:rFonts w:hint="eastAsia" w:ascii="Arial" w:hAnsi="Arial" w:cs="Arial"/>
                <w:bCs/>
              </w:rPr>
              <w:t>SC43048100020</w:t>
            </w:r>
          </w:p>
        </w:tc>
        <w:tc>
          <w:tcPr>
            <w:tcW w:w="5055" w:type="dxa"/>
            <w:vAlign w:val="center"/>
          </w:tcPr>
          <w:p>
            <w:pPr>
              <w:pStyle w:val="15"/>
              <w:widowControl/>
              <w:jc w:val="center"/>
              <w:rPr>
                <w:rFonts w:ascii="Arial" w:hAnsi="Arial" w:cs="Arial"/>
                <w:bCs/>
              </w:rPr>
            </w:pPr>
            <w:r>
              <w:rPr>
                <w:rFonts w:hint="eastAsia" w:ascii="Arial" w:hAnsi="Arial" w:cs="Arial"/>
                <w:bCs/>
              </w:rPr>
              <w:t>余庆街道办事处打鼓村建筑石料用灰岩允许开采区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余庆街道办事处打鼓村</w:t>
            </w:r>
          </w:p>
        </w:tc>
        <w:tc>
          <w:tcPr>
            <w:tcW w:w="1027" w:type="dxa"/>
            <w:vAlign w:val="center"/>
          </w:tcPr>
          <w:p>
            <w:pPr>
              <w:pStyle w:val="15"/>
              <w:widowControl/>
              <w:jc w:val="center"/>
              <w:rPr>
                <w:rFonts w:ascii="Arial" w:hAnsi="Arial" w:cs="Arial"/>
                <w:bCs/>
              </w:rPr>
            </w:pPr>
            <w:r>
              <w:rPr>
                <w:rFonts w:hint="eastAsia" w:ascii="Arial" w:hAnsi="Arial" w:cs="Arial"/>
                <w:bCs/>
              </w:rPr>
              <w:t>0.1134</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21</w:t>
            </w:r>
          </w:p>
        </w:tc>
        <w:tc>
          <w:tcPr>
            <w:tcW w:w="2201" w:type="dxa"/>
            <w:vAlign w:val="center"/>
          </w:tcPr>
          <w:p>
            <w:pPr>
              <w:pStyle w:val="15"/>
              <w:widowControl/>
              <w:jc w:val="center"/>
              <w:rPr>
                <w:rFonts w:ascii="Arial" w:hAnsi="Arial" w:cs="Arial"/>
                <w:bCs/>
              </w:rPr>
            </w:pPr>
            <w:r>
              <w:rPr>
                <w:rFonts w:hint="eastAsia" w:ascii="Arial" w:hAnsi="Arial" w:cs="Arial"/>
                <w:bCs/>
              </w:rPr>
              <w:t>SC43048100021</w:t>
            </w:r>
          </w:p>
        </w:tc>
        <w:tc>
          <w:tcPr>
            <w:tcW w:w="5055" w:type="dxa"/>
            <w:vAlign w:val="center"/>
          </w:tcPr>
          <w:p>
            <w:pPr>
              <w:pStyle w:val="15"/>
              <w:widowControl/>
              <w:jc w:val="center"/>
              <w:rPr>
                <w:rFonts w:ascii="Arial" w:hAnsi="Arial" w:cs="Arial"/>
                <w:bCs/>
              </w:rPr>
            </w:pPr>
            <w:r>
              <w:rPr>
                <w:rFonts w:hint="eastAsia" w:ascii="Arial" w:hAnsi="Arial" w:cs="Arial"/>
                <w:bCs/>
              </w:rPr>
              <w:t>余庆街道办事处南桥村建筑石料用灰岩允许开采区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余庆街道办事处南桥村</w:t>
            </w:r>
          </w:p>
        </w:tc>
        <w:tc>
          <w:tcPr>
            <w:tcW w:w="1027" w:type="dxa"/>
            <w:vAlign w:val="center"/>
          </w:tcPr>
          <w:p>
            <w:pPr>
              <w:pStyle w:val="15"/>
              <w:widowControl/>
              <w:jc w:val="center"/>
              <w:rPr>
                <w:rFonts w:ascii="Arial" w:hAnsi="Arial" w:cs="Arial"/>
                <w:bCs/>
              </w:rPr>
            </w:pPr>
            <w:r>
              <w:rPr>
                <w:rFonts w:hint="eastAsia" w:ascii="Arial" w:hAnsi="Arial" w:cs="Arial"/>
                <w:bCs/>
              </w:rPr>
              <w:t>0.1485</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22</w:t>
            </w:r>
          </w:p>
        </w:tc>
        <w:tc>
          <w:tcPr>
            <w:tcW w:w="2201" w:type="dxa"/>
            <w:vAlign w:val="center"/>
          </w:tcPr>
          <w:p>
            <w:pPr>
              <w:pStyle w:val="15"/>
              <w:widowControl/>
              <w:jc w:val="center"/>
              <w:rPr>
                <w:rFonts w:ascii="Arial" w:hAnsi="Arial" w:cs="Arial"/>
                <w:bCs/>
              </w:rPr>
            </w:pPr>
            <w:r>
              <w:rPr>
                <w:rFonts w:hint="eastAsia" w:ascii="Arial" w:hAnsi="Arial" w:cs="Arial"/>
                <w:bCs/>
              </w:rPr>
              <w:t>SC43048100022</w:t>
            </w:r>
          </w:p>
        </w:tc>
        <w:tc>
          <w:tcPr>
            <w:tcW w:w="5055" w:type="dxa"/>
            <w:vAlign w:val="center"/>
          </w:tcPr>
          <w:p>
            <w:pPr>
              <w:pStyle w:val="15"/>
              <w:widowControl/>
              <w:jc w:val="center"/>
              <w:rPr>
                <w:rFonts w:hint="eastAsia" w:ascii="Arial" w:hAnsi="Arial" w:eastAsia="宋体" w:cs="Arial"/>
                <w:bCs/>
                <w:kern w:val="0"/>
                <w:sz w:val="24"/>
                <w:szCs w:val="24"/>
                <w:lang w:val="en-US" w:eastAsia="zh-CN" w:bidi="ar-SA"/>
              </w:rPr>
            </w:pPr>
            <w:r>
              <w:rPr>
                <w:rFonts w:hint="eastAsia" w:ascii="Arial" w:hAnsi="Arial" w:cs="Arial"/>
                <w:bCs/>
              </w:rPr>
              <w:t>坛下乡和平村三组砂岩允许开采区</w:t>
            </w:r>
          </w:p>
        </w:tc>
        <w:tc>
          <w:tcPr>
            <w:tcW w:w="2641" w:type="dxa"/>
            <w:vAlign w:val="center"/>
          </w:tcPr>
          <w:p>
            <w:pPr>
              <w:pStyle w:val="15"/>
              <w:widowControl/>
              <w:jc w:val="center"/>
              <w:rPr>
                <w:rFonts w:hint="eastAsia" w:ascii="Arial" w:hAnsi="Arial" w:eastAsia="宋体" w:cs="Arial"/>
                <w:bCs/>
                <w:kern w:val="0"/>
                <w:sz w:val="24"/>
                <w:szCs w:val="24"/>
                <w:lang w:val="en-US" w:eastAsia="zh-CN" w:bidi="ar-SA"/>
              </w:rPr>
            </w:pPr>
            <w:r>
              <w:rPr>
                <w:rFonts w:hint="eastAsia" w:ascii="Arial" w:hAnsi="Arial" w:cs="Arial"/>
                <w:bCs/>
              </w:rPr>
              <w:t>坛下乡和平村</w:t>
            </w:r>
          </w:p>
        </w:tc>
        <w:tc>
          <w:tcPr>
            <w:tcW w:w="1027" w:type="dxa"/>
            <w:vAlign w:val="center"/>
          </w:tcPr>
          <w:p>
            <w:pPr>
              <w:pStyle w:val="15"/>
              <w:widowControl/>
              <w:jc w:val="center"/>
              <w:rPr>
                <w:rFonts w:hint="default" w:ascii="Arial" w:hAnsi="Arial" w:eastAsia="宋体" w:cs="Arial"/>
                <w:bCs/>
                <w:kern w:val="0"/>
                <w:sz w:val="24"/>
                <w:szCs w:val="24"/>
                <w:lang w:val="en-US" w:eastAsia="zh-CN" w:bidi="ar-SA"/>
              </w:rPr>
            </w:pPr>
            <w:r>
              <w:rPr>
                <w:rFonts w:hint="eastAsia" w:ascii="Arial" w:hAnsi="Arial" w:cs="Arial"/>
                <w:bCs/>
                <w:lang w:val="en-US" w:eastAsia="zh-CN"/>
              </w:rPr>
              <w:t>0.2243</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23</w:t>
            </w:r>
          </w:p>
        </w:tc>
        <w:tc>
          <w:tcPr>
            <w:tcW w:w="2201" w:type="dxa"/>
            <w:vAlign w:val="center"/>
          </w:tcPr>
          <w:p>
            <w:pPr>
              <w:pStyle w:val="15"/>
              <w:widowControl/>
              <w:jc w:val="center"/>
              <w:rPr>
                <w:rFonts w:ascii="Arial" w:hAnsi="Arial" w:cs="Arial"/>
                <w:bCs/>
              </w:rPr>
            </w:pPr>
            <w:r>
              <w:rPr>
                <w:rFonts w:hint="eastAsia" w:ascii="Arial" w:hAnsi="Arial" w:cs="Arial"/>
                <w:bCs/>
              </w:rPr>
              <w:t>SC43048100023</w:t>
            </w:r>
          </w:p>
        </w:tc>
        <w:tc>
          <w:tcPr>
            <w:tcW w:w="5055" w:type="dxa"/>
            <w:vAlign w:val="center"/>
          </w:tcPr>
          <w:p>
            <w:pPr>
              <w:pStyle w:val="15"/>
              <w:widowControl/>
              <w:jc w:val="center"/>
              <w:rPr>
                <w:rFonts w:ascii="Arial" w:hAnsi="Arial" w:cs="Arial"/>
                <w:bCs/>
              </w:rPr>
            </w:pPr>
            <w:r>
              <w:rPr>
                <w:rFonts w:hint="eastAsia" w:ascii="Arial" w:hAnsi="Arial" w:cs="Arial"/>
                <w:bCs/>
              </w:rPr>
              <w:t>余庆街道办事处江里村建筑石料用灰岩允许开采区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w:t>
            </w:r>
          </w:p>
        </w:tc>
        <w:tc>
          <w:tcPr>
            <w:tcW w:w="1027" w:type="dxa"/>
            <w:vAlign w:val="center"/>
          </w:tcPr>
          <w:p>
            <w:pPr>
              <w:pStyle w:val="15"/>
              <w:widowControl/>
              <w:jc w:val="center"/>
              <w:rPr>
                <w:rFonts w:ascii="Arial" w:hAnsi="Arial" w:cs="Arial"/>
                <w:bCs/>
              </w:rPr>
            </w:pPr>
            <w:r>
              <w:rPr>
                <w:rFonts w:hint="eastAsia" w:ascii="Arial" w:hAnsi="Arial" w:cs="Arial"/>
                <w:bCs/>
              </w:rPr>
              <w:t>0.322</w:t>
            </w:r>
          </w:p>
        </w:tc>
        <w:tc>
          <w:tcPr>
            <w:tcW w:w="1044" w:type="dxa"/>
            <w:vAlign w:val="center"/>
          </w:tcPr>
          <w:p>
            <w:pPr>
              <w:pStyle w:val="15"/>
              <w:widowControl/>
              <w:jc w:val="center"/>
              <w:rPr>
                <w:rFonts w:ascii="Arial" w:hAnsi="Arial" w:cs="Arial"/>
                <w:bCs/>
              </w:rPr>
            </w:pPr>
            <w:r>
              <w:rPr>
                <w:rFonts w:hint="eastAsia" w:ascii="Arial" w:hAnsi="Arial" w:cs="Arial"/>
                <w:bCs/>
              </w:rPr>
              <w:t>2</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24</w:t>
            </w:r>
          </w:p>
        </w:tc>
        <w:tc>
          <w:tcPr>
            <w:tcW w:w="2201" w:type="dxa"/>
            <w:vAlign w:val="center"/>
          </w:tcPr>
          <w:p>
            <w:pPr>
              <w:pStyle w:val="15"/>
              <w:widowControl/>
              <w:jc w:val="center"/>
              <w:rPr>
                <w:rFonts w:ascii="Arial" w:hAnsi="Arial" w:cs="Arial"/>
                <w:bCs/>
              </w:rPr>
            </w:pPr>
            <w:r>
              <w:rPr>
                <w:rFonts w:hint="eastAsia" w:ascii="Arial" w:hAnsi="Arial" w:cs="Arial"/>
                <w:bCs/>
              </w:rPr>
              <w:t>SC43048100024</w:t>
            </w:r>
          </w:p>
        </w:tc>
        <w:tc>
          <w:tcPr>
            <w:tcW w:w="5055" w:type="dxa"/>
            <w:vAlign w:val="center"/>
          </w:tcPr>
          <w:p>
            <w:pPr>
              <w:pStyle w:val="15"/>
              <w:widowControl/>
              <w:jc w:val="center"/>
              <w:rPr>
                <w:rFonts w:ascii="Arial" w:hAnsi="Arial" w:cs="Arial"/>
                <w:bCs/>
              </w:rPr>
            </w:pPr>
            <w:r>
              <w:rPr>
                <w:rFonts w:hint="eastAsia" w:ascii="Arial" w:hAnsi="Arial" w:cs="Arial"/>
                <w:bCs/>
              </w:rPr>
              <w:t>小水镇金山村砖瓦用页岩允许开采区</w:t>
            </w:r>
          </w:p>
        </w:tc>
        <w:tc>
          <w:tcPr>
            <w:tcW w:w="2641" w:type="dxa"/>
            <w:vAlign w:val="center"/>
          </w:tcPr>
          <w:p>
            <w:pPr>
              <w:pStyle w:val="15"/>
              <w:widowControl/>
              <w:jc w:val="center"/>
              <w:rPr>
                <w:rFonts w:ascii="Arial" w:hAnsi="Arial" w:cs="Arial"/>
                <w:bCs/>
              </w:rPr>
            </w:pPr>
            <w:r>
              <w:rPr>
                <w:rFonts w:hint="eastAsia" w:ascii="Arial" w:hAnsi="Arial" w:cs="Arial"/>
                <w:bCs/>
              </w:rPr>
              <w:t>小水镇金山村</w:t>
            </w:r>
          </w:p>
        </w:tc>
        <w:tc>
          <w:tcPr>
            <w:tcW w:w="1027" w:type="dxa"/>
            <w:vAlign w:val="center"/>
          </w:tcPr>
          <w:p>
            <w:pPr>
              <w:pStyle w:val="15"/>
              <w:widowControl/>
              <w:jc w:val="center"/>
              <w:rPr>
                <w:rFonts w:ascii="Arial" w:hAnsi="Arial" w:cs="Arial"/>
                <w:bCs/>
              </w:rPr>
            </w:pPr>
            <w:r>
              <w:rPr>
                <w:rFonts w:hint="eastAsia" w:ascii="Arial" w:hAnsi="Arial" w:cs="Arial"/>
                <w:bCs/>
              </w:rPr>
              <w:t>0.1002</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25</w:t>
            </w:r>
          </w:p>
        </w:tc>
        <w:tc>
          <w:tcPr>
            <w:tcW w:w="2201" w:type="dxa"/>
            <w:vAlign w:val="center"/>
          </w:tcPr>
          <w:p>
            <w:pPr>
              <w:pStyle w:val="15"/>
              <w:widowControl/>
              <w:jc w:val="center"/>
              <w:rPr>
                <w:rFonts w:ascii="Arial" w:hAnsi="Arial" w:cs="Arial"/>
                <w:bCs/>
              </w:rPr>
            </w:pPr>
            <w:r>
              <w:rPr>
                <w:rFonts w:hint="eastAsia" w:ascii="Arial" w:hAnsi="Arial" w:cs="Arial"/>
                <w:bCs/>
              </w:rPr>
              <w:t>SC43048100025</w:t>
            </w:r>
          </w:p>
        </w:tc>
        <w:tc>
          <w:tcPr>
            <w:tcW w:w="5055" w:type="dxa"/>
            <w:vAlign w:val="center"/>
          </w:tcPr>
          <w:p>
            <w:pPr>
              <w:pStyle w:val="15"/>
              <w:widowControl/>
              <w:jc w:val="center"/>
              <w:rPr>
                <w:rFonts w:ascii="Arial" w:hAnsi="Arial" w:cs="Arial"/>
                <w:bCs/>
              </w:rPr>
            </w:pPr>
            <w:r>
              <w:rPr>
                <w:rFonts w:hint="eastAsia" w:ascii="Arial" w:hAnsi="Arial" w:cs="Arial"/>
                <w:bCs/>
              </w:rPr>
              <w:t>水东江街道办事处花桥村砖瓦用页岩允许开采区</w:t>
            </w:r>
          </w:p>
        </w:tc>
        <w:tc>
          <w:tcPr>
            <w:tcW w:w="2641" w:type="dxa"/>
            <w:vAlign w:val="center"/>
          </w:tcPr>
          <w:p>
            <w:pPr>
              <w:pStyle w:val="15"/>
              <w:widowControl/>
              <w:jc w:val="center"/>
              <w:rPr>
                <w:rFonts w:ascii="Arial" w:hAnsi="Arial" w:cs="Arial"/>
                <w:bCs/>
              </w:rPr>
            </w:pPr>
            <w:r>
              <w:rPr>
                <w:rFonts w:hint="eastAsia" w:ascii="Arial" w:hAnsi="Arial" w:cs="Arial"/>
                <w:bCs/>
              </w:rPr>
              <w:t>水东江街道办事处</w:t>
            </w:r>
          </w:p>
        </w:tc>
        <w:tc>
          <w:tcPr>
            <w:tcW w:w="1027" w:type="dxa"/>
            <w:vAlign w:val="center"/>
          </w:tcPr>
          <w:p>
            <w:pPr>
              <w:pStyle w:val="15"/>
              <w:widowControl/>
              <w:jc w:val="center"/>
              <w:rPr>
                <w:rFonts w:ascii="Arial" w:hAnsi="Arial" w:cs="Arial"/>
                <w:bCs/>
              </w:rPr>
            </w:pPr>
            <w:r>
              <w:rPr>
                <w:rFonts w:hint="eastAsia" w:ascii="Arial" w:hAnsi="Arial" w:cs="Arial"/>
                <w:bCs/>
              </w:rPr>
              <w:t>0.0458</w:t>
            </w:r>
          </w:p>
        </w:tc>
        <w:tc>
          <w:tcPr>
            <w:tcW w:w="1044" w:type="dxa"/>
            <w:vAlign w:val="center"/>
          </w:tcPr>
          <w:p>
            <w:pPr>
              <w:pStyle w:val="15"/>
              <w:widowControl/>
              <w:jc w:val="center"/>
              <w:rPr>
                <w:rFonts w:ascii="Arial" w:hAnsi="Arial" w:cs="Arial"/>
                <w:bCs/>
              </w:rPr>
            </w:pPr>
            <w:r>
              <w:rPr>
                <w:rFonts w:hint="eastAsia" w:ascii="Arial" w:hAnsi="Arial" w:cs="Arial"/>
                <w:bCs/>
              </w:rPr>
              <w:t>2</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26</w:t>
            </w:r>
          </w:p>
        </w:tc>
        <w:tc>
          <w:tcPr>
            <w:tcW w:w="2201" w:type="dxa"/>
            <w:vAlign w:val="center"/>
          </w:tcPr>
          <w:p>
            <w:pPr>
              <w:pStyle w:val="15"/>
              <w:widowControl/>
              <w:jc w:val="center"/>
              <w:rPr>
                <w:rFonts w:ascii="Arial" w:hAnsi="Arial" w:cs="Arial"/>
                <w:bCs/>
              </w:rPr>
            </w:pPr>
            <w:r>
              <w:rPr>
                <w:rFonts w:hint="eastAsia" w:ascii="Arial" w:hAnsi="Arial" w:cs="Arial"/>
                <w:bCs/>
              </w:rPr>
              <w:t>SC43048100026</w:t>
            </w:r>
          </w:p>
        </w:tc>
        <w:tc>
          <w:tcPr>
            <w:tcW w:w="5055" w:type="dxa"/>
            <w:vAlign w:val="center"/>
          </w:tcPr>
          <w:p>
            <w:pPr>
              <w:pStyle w:val="15"/>
              <w:widowControl/>
              <w:jc w:val="center"/>
              <w:rPr>
                <w:rFonts w:ascii="Arial" w:hAnsi="Arial" w:cs="Arial"/>
                <w:bCs/>
              </w:rPr>
            </w:pPr>
            <w:r>
              <w:rPr>
                <w:rFonts w:hint="eastAsia" w:ascii="Arial" w:hAnsi="Arial" w:cs="Arial"/>
                <w:bCs/>
              </w:rPr>
              <w:t>哲桥镇畔塘村建筑石料用灰岩允许开采区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哲桥镇畔塘村</w:t>
            </w:r>
          </w:p>
        </w:tc>
        <w:tc>
          <w:tcPr>
            <w:tcW w:w="1027" w:type="dxa"/>
            <w:vAlign w:val="center"/>
          </w:tcPr>
          <w:p>
            <w:pPr>
              <w:pStyle w:val="15"/>
              <w:widowControl/>
              <w:jc w:val="center"/>
              <w:rPr>
                <w:rFonts w:ascii="Arial" w:hAnsi="Arial" w:cs="Arial"/>
                <w:bCs/>
              </w:rPr>
            </w:pPr>
            <w:r>
              <w:rPr>
                <w:rFonts w:hint="eastAsia" w:ascii="Arial" w:hAnsi="Arial" w:cs="Arial"/>
                <w:bCs/>
              </w:rPr>
              <w:t>0.4455</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27</w:t>
            </w:r>
          </w:p>
        </w:tc>
        <w:tc>
          <w:tcPr>
            <w:tcW w:w="2201" w:type="dxa"/>
            <w:vAlign w:val="center"/>
          </w:tcPr>
          <w:p>
            <w:pPr>
              <w:pStyle w:val="15"/>
              <w:widowControl/>
              <w:jc w:val="center"/>
              <w:rPr>
                <w:rFonts w:ascii="Arial" w:hAnsi="Arial" w:cs="Arial"/>
                <w:bCs/>
              </w:rPr>
            </w:pPr>
            <w:r>
              <w:rPr>
                <w:rFonts w:hint="eastAsia" w:ascii="Arial" w:hAnsi="Arial" w:cs="Arial"/>
                <w:bCs/>
              </w:rPr>
              <w:t>SC43048100027</w:t>
            </w:r>
          </w:p>
        </w:tc>
        <w:tc>
          <w:tcPr>
            <w:tcW w:w="5055" w:type="dxa"/>
            <w:vAlign w:val="center"/>
          </w:tcPr>
          <w:p>
            <w:pPr>
              <w:pStyle w:val="15"/>
              <w:widowControl/>
              <w:jc w:val="center"/>
              <w:rPr>
                <w:rFonts w:ascii="Arial" w:hAnsi="Arial" w:cs="Arial"/>
                <w:bCs/>
              </w:rPr>
            </w:pPr>
            <w:r>
              <w:rPr>
                <w:rFonts w:hint="eastAsia" w:ascii="Arial" w:hAnsi="Arial" w:cs="Arial"/>
                <w:bCs/>
              </w:rPr>
              <w:t>大和圩乡存谷村建筑用玄武岩允许开采区</w:t>
            </w:r>
          </w:p>
        </w:tc>
        <w:tc>
          <w:tcPr>
            <w:tcW w:w="2641" w:type="dxa"/>
            <w:vAlign w:val="center"/>
          </w:tcPr>
          <w:p>
            <w:pPr>
              <w:pStyle w:val="15"/>
              <w:widowControl/>
              <w:jc w:val="center"/>
              <w:rPr>
                <w:rFonts w:ascii="Arial" w:hAnsi="Arial" w:cs="Arial"/>
                <w:bCs/>
              </w:rPr>
            </w:pPr>
            <w:r>
              <w:rPr>
                <w:rFonts w:hint="eastAsia" w:ascii="Arial" w:hAnsi="Arial" w:cs="Arial"/>
                <w:bCs/>
              </w:rPr>
              <w:t>大和圩乡</w:t>
            </w:r>
          </w:p>
        </w:tc>
        <w:tc>
          <w:tcPr>
            <w:tcW w:w="1027" w:type="dxa"/>
            <w:vAlign w:val="center"/>
          </w:tcPr>
          <w:p>
            <w:pPr>
              <w:pStyle w:val="15"/>
              <w:widowControl/>
              <w:jc w:val="center"/>
              <w:rPr>
                <w:rFonts w:ascii="Arial" w:hAnsi="Arial" w:cs="Arial"/>
                <w:bCs/>
              </w:rPr>
            </w:pPr>
            <w:r>
              <w:rPr>
                <w:rFonts w:hint="eastAsia" w:ascii="Arial" w:hAnsi="Arial" w:cs="Arial"/>
                <w:bCs/>
              </w:rPr>
              <w:t>0.1247</w:t>
            </w:r>
          </w:p>
        </w:tc>
        <w:tc>
          <w:tcPr>
            <w:tcW w:w="1044" w:type="dxa"/>
            <w:vAlign w:val="center"/>
          </w:tcPr>
          <w:p>
            <w:pPr>
              <w:pStyle w:val="15"/>
              <w:widowControl/>
              <w:jc w:val="center"/>
              <w:rPr>
                <w:rFonts w:ascii="Arial" w:hAnsi="Arial" w:cs="Arial"/>
                <w:bCs/>
              </w:rPr>
            </w:pPr>
            <w:r>
              <w:rPr>
                <w:rFonts w:hint="eastAsia" w:ascii="Arial" w:hAnsi="Arial" w:cs="Arial"/>
                <w:bCs/>
              </w:rPr>
              <w:t>2</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28</w:t>
            </w:r>
          </w:p>
        </w:tc>
        <w:tc>
          <w:tcPr>
            <w:tcW w:w="2201" w:type="dxa"/>
            <w:vAlign w:val="center"/>
          </w:tcPr>
          <w:p>
            <w:pPr>
              <w:pStyle w:val="15"/>
              <w:widowControl/>
              <w:jc w:val="center"/>
              <w:rPr>
                <w:rFonts w:ascii="Arial" w:hAnsi="Arial" w:cs="Arial"/>
                <w:bCs/>
              </w:rPr>
            </w:pPr>
            <w:r>
              <w:rPr>
                <w:rFonts w:hint="eastAsia" w:ascii="Arial" w:hAnsi="Arial" w:cs="Arial"/>
                <w:bCs/>
              </w:rPr>
              <w:t>SC43048100028</w:t>
            </w:r>
          </w:p>
        </w:tc>
        <w:tc>
          <w:tcPr>
            <w:tcW w:w="5055" w:type="dxa"/>
            <w:vAlign w:val="center"/>
          </w:tcPr>
          <w:p>
            <w:pPr>
              <w:pStyle w:val="15"/>
              <w:widowControl/>
              <w:jc w:val="center"/>
              <w:rPr>
                <w:rFonts w:ascii="Arial" w:hAnsi="Arial" w:cs="Arial"/>
                <w:bCs/>
              </w:rPr>
            </w:pPr>
            <w:r>
              <w:rPr>
                <w:rFonts w:hint="eastAsia" w:ascii="Arial" w:hAnsi="Arial" w:cs="Arial"/>
                <w:bCs/>
              </w:rPr>
              <w:t>大和圩乡春江村建筑用玄武岩允许开采区</w:t>
            </w:r>
          </w:p>
        </w:tc>
        <w:tc>
          <w:tcPr>
            <w:tcW w:w="2641" w:type="dxa"/>
            <w:vAlign w:val="center"/>
          </w:tcPr>
          <w:p>
            <w:pPr>
              <w:pStyle w:val="15"/>
              <w:widowControl/>
              <w:jc w:val="center"/>
              <w:rPr>
                <w:rFonts w:ascii="Arial" w:hAnsi="Arial" w:cs="Arial"/>
                <w:bCs/>
              </w:rPr>
            </w:pPr>
            <w:r>
              <w:rPr>
                <w:rFonts w:hint="eastAsia" w:ascii="Arial" w:hAnsi="Arial" w:cs="Arial"/>
                <w:bCs/>
              </w:rPr>
              <w:t>大和圩乡</w:t>
            </w:r>
          </w:p>
        </w:tc>
        <w:tc>
          <w:tcPr>
            <w:tcW w:w="1027" w:type="dxa"/>
            <w:vAlign w:val="center"/>
          </w:tcPr>
          <w:p>
            <w:pPr>
              <w:pStyle w:val="15"/>
              <w:widowControl/>
              <w:jc w:val="center"/>
              <w:rPr>
                <w:rFonts w:ascii="Arial" w:hAnsi="Arial" w:cs="Arial"/>
                <w:bCs/>
              </w:rPr>
            </w:pPr>
            <w:r>
              <w:rPr>
                <w:rFonts w:hint="eastAsia" w:ascii="Arial" w:hAnsi="Arial" w:cs="Arial"/>
                <w:bCs/>
              </w:rPr>
              <w:t>0.0368</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29</w:t>
            </w:r>
          </w:p>
        </w:tc>
        <w:tc>
          <w:tcPr>
            <w:tcW w:w="2201" w:type="dxa"/>
            <w:vAlign w:val="center"/>
          </w:tcPr>
          <w:p>
            <w:pPr>
              <w:pStyle w:val="15"/>
              <w:widowControl/>
              <w:jc w:val="center"/>
              <w:rPr>
                <w:rFonts w:ascii="Arial" w:hAnsi="Arial" w:cs="Arial"/>
                <w:bCs/>
              </w:rPr>
            </w:pPr>
            <w:r>
              <w:rPr>
                <w:rFonts w:hint="eastAsia" w:ascii="Arial" w:hAnsi="Arial" w:cs="Arial"/>
                <w:bCs/>
              </w:rPr>
              <w:t>SC43048100029</w:t>
            </w:r>
          </w:p>
        </w:tc>
        <w:tc>
          <w:tcPr>
            <w:tcW w:w="5055" w:type="dxa"/>
            <w:vAlign w:val="center"/>
          </w:tcPr>
          <w:p>
            <w:pPr>
              <w:pStyle w:val="15"/>
              <w:widowControl/>
              <w:jc w:val="center"/>
              <w:rPr>
                <w:rFonts w:ascii="Arial" w:hAnsi="Arial" w:cs="Arial"/>
                <w:bCs/>
              </w:rPr>
            </w:pPr>
            <w:r>
              <w:rPr>
                <w:rFonts w:hint="eastAsia" w:ascii="Arial" w:hAnsi="Arial" w:cs="Arial"/>
                <w:bCs/>
              </w:rPr>
              <w:t>三都镇兴旺村建筑石料用灰岩允许开采区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三都镇</w:t>
            </w:r>
          </w:p>
        </w:tc>
        <w:tc>
          <w:tcPr>
            <w:tcW w:w="1027" w:type="dxa"/>
            <w:vAlign w:val="center"/>
          </w:tcPr>
          <w:p>
            <w:pPr>
              <w:pStyle w:val="15"/>
              <w:widowControl/>
              <w:jc w:val="center"/>
              <w:rPr>
                <w:rFonts w:ascii="Arial" w:hAnsi="Arial" w:cs="Arial"/>
                <w:bCs/>
              </w:rPr>
            </w:pPr>
            <w:r>
              <w:rPr>
                <w:rFonts w:hint="eastAsia" w:ascii="Arial" w:hAnsi="Arial" w:cs="Arial"/>
                <w:bCs/>
              </w:rPr>
              <w:t>0.0512</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30</w:t>
            </w:r>
          </w:p>
        </w:tc>
        <w:tc>
          <w:tcPr>
            <w:tcW w:w="2201" w:type="dxa"/>
            <w:vAlign w:val="center"/>
          </w:tcPr>
          <w:p>
            <w:pPr>
              <w:pStyle w:val="15"/>
              <w:widowControl/>
              <w:jc w:val="center"/>
              <w:rPr>
                <w:rFonts w:ascii="Arial" w:hAnsi="Arial" w:cs="Arial"/>
                <w:bCs/>
              </w:rPr>
            </w:pPr>
            <w:r>
              <w:rPr>
                <w:rFonts w:hint="eastAsia" w:ascii="Arial" w:hAnsi="Arial" w:cs="Arial"/>
                <w:bCs/>
              </w:rPr>
              <w:t>SC43048100030</w:t>
            </w:r>
          </w:p>
        </w:tc>
        <w:tc>
          <w:tcPr>
            <w:tcW w:w="5055" w:type="dxa"/>
            <w:vAlign w:val="center"/>
          </w:tcPr>
          <w:p>
            <w:pPr>
              <w:pStyle w:val="15"/>
              <w:widowControl/>
              <w:jc w:val="center"/>
              <w:rPr>
                <w:rFonts w:ascii="Arial" w:hAnsi="Arial" w:cs="Arial"/>
                <w:bCs/>
              </w:rPr>
            </w:pPr>
            <w:r>
              <w:rPr>
                <w:rFonts w:hint="eastAsia" w:ascii="Arial" w:hAnsi="Arial" w:cs="Arial"/>
                <w:bCs/>
              </w:rPr>
              <w:t>东湖圩镇枫林村砖瓦用页岩允许开采区</w:t>
            </w:r>
          </w:p>
        </w:tc>
        <w:tc>
          <w:tcPr>
            <w:tcW w:w="2641" w:type="dxa"/>
            <w:vAlign w:val="center"/>
          </w:tcPr>
          <w:p>
            <w:pPr>
              <w:pStyle w:val="15"/>
              <w:widowControl/>
              <w:jc w:val="center"/>
              <w:rPr>
                <w:rFonts w:ascii="Arial" w:hAnsi="Arial" w:cs="Arial"/>
                <w:bCs/>
              </w:rPr>
            </w:pPr>
            <w:r>
              <w:rPr>
                <w:rFonts w:hint="eastAsia" w:ascii="Arial" w:hAnsi="Arial" w:cs="Arial"/>
                <w:bCs/>
              </w:rPr>
              <w:t>东湖圩镇枫林村</w:t>
            </w:r>
          </w:p>
        </w:tc>
        <w:tc>
          <w:tcPr>
            <w:tcW w:w="1027" w:type="dxa"/>
            <w:vAlign w:val="center"/>
          </w:tcPr>
          <w:p>
            <w:pPr>
              <w:pStyle w:val="15"/>
              <w:widowControl/>
              <w:jc w:val="center"/>
              <w:rPr>
                <w:rFonts w:ascii="Arial" w:hAnsi="Arial" w:cs="Arial"/>
                <w:bCs/>
              </w:rPr>
            </w:pPr>
            <w:r>
              <w:rPr>
                <w:rFonts w:hint="eastAsia" w:ascii="Arial" w:hAnsi="Arial" w:cs="Arial"/>
                <w:bCs/>
              </w:rPr>
              <w:t>0.071</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31</w:t>
            </w:r>
          </w:p>
        </w:tc>
        <w:tc>
          <w:tcPr>
            <w:tcW w:w="2201" w:type="dxa"/>
            <w:vAlign w:val="center"/>
          </w:tcPr>
          <w:p>
            <w:pPr>
              <w:pStyle w:val="15"/>
              <w:widowControl/>
              <w:jc w:val="center"/>
              <w:rPr>
                <w:rFonts w:ascii="Arial" w:hAnsi="Arial" w:cs="Arial"/>
                <w:bCs/>
              </w:rPr>
            </w:pPr>
            <w:r>
              <w:rPr>
                <w:rFonts w:hint="eastAsia" w:ascii="Arial" w:hAnsi="Arial" w:cs="Arial"/>
                <w:bCs/>
              </w:rPr>
              <w:t>SC43048100031</w:t>
            </w:r>
          </w:p>
        </w:tc>
        <w:tc>
          <w:tcPr>
            <w:tcW w:w="5055" w:type="dxa"/>
            <w:vAlign w:val="center"/>
          </w:tcPr>
          <w:p>
            <w:pPr>
              <w:pStyle w:val="15"/>
              <w:widowControl/>
              <w:jc w:val="center"/>
              <w:rPr>
                <w:rFonts w:ascii="Arial" w:hAnsi="Arial" w:cs="Arial"/>
                <w:bCs/>
              </w:rPr>
            </w:pPr>
            <w:r>
              <w:rPr>
                <w:rFonts w:hint="eastAsia" w:ascii="Arial" w:hAnsi="Arial" w:cs="Arial"/>
                <w:bCs/>
              </w:rPr>
              <w:t>东湖圩镇湖塘村建筑石料用灰岩允许开采区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东湖圩镇湖塘村</w:t>
            </w:r>
          </w:p>
        </w:tc>
        <w:tc>
          <w:tcPr>
            <w:tcW w:w="1027" w:type="dxa"/>
            <w:vAlign w:val="center"/>
          </w:tcPr>
          <w:p>
            <w:pPr>
              <w:pStyle w:val="15"/>
              <w:widowControl/>
              <w:jc w:val="center"/>
              <w:rPr>
                <w:rFonts w:ascii="Arial" w:hAnsi="Arial" w:cs="Arial"/>
                <w:bCs/>
              </w:rPr>
            </w:pPr>
            <w:r>
              <w:rPr>
                <w:rFonts w:hint="eastAsia" w:ascii="Arial" w:hAnsi="Arial" w:cs="Arial"/>
                <w:bCs/>
              </w:rPr>
              <w:t>0.182</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32</w:t>
            </w:r>
          </w:p>
        </w:tc>
        <w:tc>
          <w:tcPr>
            <w:tcW w:w="2201" w:type="dxa"/>
            <w:vAlign w:val="center"/>
          </w:tcPr>
          <w:p>
            <w:pPr>
              <w:pStyle w:val="15"/>
              <w:widowControl/>
              <w:jc w:val="center"/>
              <w:rPr>
                <w:rFonts w:ascii="Arial" w:hAnsi="Arial" w:cs="Arial"/>
                <w:bCs/>
              </w:rPr>
            </w:pPr>
            <w:r>
              <w:rPr>
                <w:rFonts w:hint="eastAsia" w:ascii="Arial" w:hAnsi="Arial" w:cs="Arial"/>
                <w:bCs/>
              </w:rPr>
              <w:t>SC43048100032</w:t>
            </w:r>
          </w:p>
        </w:tc>
        <w:tc>
          <w:tcPr>
            <w:tcW w:w="5055" w:type="dxa"/>
            <w:vAlign w:val="center"/>
          </w:tcPr>
          <w:p>
            <w:pPr>
              <w:pStyle w:val="15"/>
              <w:widowControl/>
              <w:jc w:val="center"/>
              <w:rPr>
                <w:rFonts w:ascii="Arial" w:hAnsi="Arial" w:cs="Arial"/>
                <w:bCs/>
              </w:rPr>
            </w:pPr>
            <w:r>
              <w:rPr>
                <w:rFonts w:hint="eastAsia" w:ascii="Arial" w:hAnsi="Arial" w:cs="Arial"/>
                <w:bCs/>
              </w:rPr>
              <w:t>东湖圩镇枣子村建筑石料用灰岩允许开采区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东湖圩镇枣子村</w:t>
            </w:r>
          </w:p>
        </w:tc>
        <w:tc>
          <w:tcPr>
            <w:tcW w:w="1027" w:type="dxa"/>
            <w:vAlign w:val="center"/>
          </w:tcPr>
          <w:p>
            <w:pPr>
              <w:pStyle w:val="15"/>
              <w:widowControl/>
              <w:jc w:val="center"/>
              <w:rPr>
                <w:rFonts w:ascii="Arial" w:hAnsi="Arial" w:cs="Arial"/>
                <w:bCs/>
              </w:rPr>
            </w:pPr>
            <w:r>
              <w:rPr>
                <w:rFonts w:hint="eastAsia" w:ascii="Arial" w:hAnsi="Arial" w:cs="Arial"/>
                <w:bCs/>
              </w:rPr>
              <w:t>0.114</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33</w:t>
            </w:r>
          </w:p>
        </w:tc>
        <w:tc>
          <w:tcPr>
            <w:tcW w:w="2201" w:type="dxa"/>
            <w:vAlign w:val="center"/>
          </w:tcPr>
          <w:p>
            <w:pPr>
              <w:pStyle w:val="15"/>
              <w:widowControl/>
              <w:jc w:val="center"/>
              <w:rPr>
                <w:rFonts w:ascii="Arial" w:hAnsi="Arial" w:cs="Arial"/>
                <w:bCs/>
              </w:rPr>
            </w:pPr>
            <w:r>
              <w:rPr>
                <w:rFonts w:hint="eastAsia" w:ascii="Arial" w:hAnsi="Arial" w:cs="Arial"/>
                <w:bCs/>
              </w:rPr>
              <w:t>SC43048100033</w:t>
            </w:r>
          </w:p>
        </w:tc>
        <w:tc>
          <w:tcPr>
            <w:tcW w:w="5055" w:type="dxa"/>
            <w:vAlign w:val="center"/>
          </w:tcPr>
          <w:p>
            <w:pPr>
              <w:pStyle w:val="15"/>
              <w:widowControl/>
              <w:jc w:val="center"/>
              <w:rPr>
                <w:rFonts w:ascii="Arial" w:hAnsi="Arial" w:cs="Arial"/>
                <w:bCs/>
              </w:rPr>
            </w:pPr>
            <w:r>
              <w:rPr>
                <w:rFonts w:hint="eastAsia" w:ascii="Arial" w:hAnsi="Arial" w:cs="Arial"/>
                <w:bCs/>
              </w:rPr>
              <w:t>导子镇石屋冲村建筑石料用灰岩允许开采区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导子镇石屋冲村</w:t>
            </w:r>
          </w:p>
        </w:tc>
        <w:tc>
          <w:tcPr>
            <w:tcW w:w="1027" w:type="dxa"/>
            <w:vAlign w:val="center"/>
          </w:tcPr>
          <w:p>
            <w:pPr>
              <w:pStyle w:val="15"/>
              <w:widowControl/>
              <w:jc w:val="center"/>
              <w:rPr>
                <w:rFonts w:ascii="Arial" w:hAnsi="Arial" w:cs="Arial"/>
                <w:bCs/>
              </w:rPr>
            </w:pPr>
            <w:r>
              <w:rPr>
                <w:rFonts w:hint="eastAsia" w:ascii="Arial" w:hAnsi="Arial" w:cs="Arial"/>
                <w:bCs/>
              </w:rPr>
              <w:t>0.1539</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34</w:t>
            </w:r>
          </w:p>
        </w:tc>
        <w:tc>
          <w:tcPr>
            <w:tcW w:w="2201" w:type="dxa"/>
            <w:vAlign w:val="center"/>
          </w:tcPr>
          <w:p>
            <w:pPr>
              <w:pStyle w:val="15"/>
              <w:widowControl/>
              <w:jc w:val="center"/>
              <w:rPr>
                <w:rFonts w:ascii="Arial" w:hAnsi="Arial" w:cs="Arial"/>
                <w:bCs/>
              </w:rPr>
            </w:pPr>
            <w:r>
              <w:rPr>
                <w:rFonts w:hint="eastAsia" w:ascii="Arial" w:hAnsi="Arial" w:cs="Arial"/>
                <w:bCs/>
              </w:rPr>
              <w:t>SC43048100034</w:t>
            </w:r>
          </w:p>
        </w:tc>
        <w:tc>
          <w:tcPr>
            <w:tcW w:w="5055" w:type="dxa"/>
            <w:vAlign w:val="center"/>
          </w:tcPr>
          <w:p>
            <w:pPr>
              <w:pStyle w:val="15"/>
              <w:widowControl/>
              <w:jc w:val="center"/>
              <w:rPr>
                <w:rFonts w:ascii="Arial" w:hAnsi="Arial" w:cs="Arial"/>
                <w:bCs/>
              </w:rPr>
            </w:pPr>
            <w:r>
              <w:rPr>
                <w:rFonts w:hint="eastAsia" w:ascii="Arial" w:hAnsi="Arial" w:cs="Arial"/>
                <w:bCs/>
              </w:rPr>
              <w:t xml:space="preserve"> 大市镇芭蕉村建筑石料用灰岩允许开采区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大市镇芭蕉村</w:t>
            </w:r>
          </w:p>
        </w:tc>
        <w:tc>
          <w:tcPr>
            <w:tcW w:w="1027" w:type="dxa"/>
            <w:vAlign w:val="center"/>
          </w:tcPr>
          <w:p>
            <w:pPr>
              <w:pStyle w:val="15"/>
              <w:widowControl/>
              <w:jc w:val="center"/>
              <w:rPr>
                <w:rFonts w:ascii="Arial" w:hAnsi="Arial" w:cs="Arial"/>
                <w:bCs/>
              </w:rPr>
            </w:pPr>
            <w:r>
              <w:rPr>
                <w:rFonts w:hint="eastAsia" w:ascii="Arial" w:hAnsi="Arial" w:cs="Arial"/>
                <w:bCs/>
              </w:rPr>
              <w:t>0.2032</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35</w:t>
            </w:r>
          </w:p>
        </w:tc>
        <w:tc>
          <w:tcPr>
            <w:tcW w:w="2201" w:type="dxa"/>
            <w:vAlign w:val="center"/>
          </w:tcPr>
          <w:p>
            <w:pPr>
              <w:pStyle w:val="15"/>
              <w:widowControl/>
              <w:jc w:val="center"/>
              <w:rPr>
                <w:rFonts w:ascii="Arial" w:hAnsi="Arial" w:cs="Arial"/>
                <w:bCs/>
              </w:rPr>
            </w:pPr>
            <w:r>
              <w:rPr>
                <w:rFonts w:hint="eastAsia" w:ascii="Arial" w:hAnsi="Arial" w:cs="Arial"/>
                <w:bCs/>
              </w:rPr>
              <w:t>SC43048100035</w:t>
            </w:r>
          </w:p>
        </w:tc>
        <w:tc>
          <w:tcPr>
            <w:tcW w:w="5055" w:type="dxa"/>
            <w:vAlign w:val="center"/>
          </w:tcPr>
          <w:p>
            <w:pPr>
              <w:pStyle w:val="15"/>
              <w:widowControl/>
              <w:jc w:val="center"/>
              <w:rPr>
                <w:rFonts w:ascii="Arial" w:hAnsi="Arial" w:cs="Arial"/>
                <w:bCs/>
              </w:rPr>
            </w:pPr>
            <w:r>
              <w:rPr>
                <w:rFonts w:hint="eastAsia" w:ascii="Arial" w:hAnsi="Arial" w:cs="Arial"/>
                <w:bCs/>
              </w:rPr>
              <w:t>亮源乡桐木村建筑用花岗岩允许开采区</w:t>
            </w:r>
          </w:p>
        </w:tc>
        <w:tc>
          <w:tcPr>
            <w:tcW w:w="2641" w:type="dxa"/>
            <w:vAlign w:val="center"/>
          </w:tcPr>
          <w:p>
            <w:pPr>
              <w:pStyle w:val="15"/>
              <w:widowControl/>
              <w:jc w:val="center"/>
              <w:rPr>
                <w:rFonts w:ascii="Arial" w:hAnsi="Arial" w:cs="Arial"/>
                <w:bCs/>
              </w:rPr>
            </w:pPr>
            <w:r>
              <w:rPr>
                <w:rFonts w:hint="eastAsia" w:ascii="Arial" w:hAnsi="Arial" w:cs="Arial"/>
                <w:bCs/>
              </w:rPr>
              <w:t>亮源乡桐木村</w:t>
            </w:r>
          </w:p>
        </w:tc>
        <w:tc>
          <w:tcPr>
            <w:tcW w:w="1027" w:type="dxa"/>
            <w:vAlign w:val="center"/>
          </w:tcPr>
          <w:p>
            <w:pPr>
              <w:pStyle w:val="15"/>
              <w:widowControl/>
              <w:jc w:val="center"/>
              <w:rPr>
                <w:rFonts w:ascii="Arial" w:hAnsi="Arial" w:cs="Arial"/>
                <w:bCs/>
              </w:rPr>
            </w:pPr>
            <w:r>
              <w:rPr>
                <w:rFonts w:hint="eastAsia" w:ascii="Arial" w:hAnsi="Arial" w:cs="Arial"/>
                <w:bCs/>
              </w:rPr>
              <w:t>0.352</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36</w:t>
            </w:r>
          </w:p>
        </w:tc>
        <w:tc>
          <w:tcPr>
            <w:tcW w:w="2201" w:type="dxa"/>
            <w:vAlign w:val="center"/>
          </w:tcPr>
          <w:p>
            <w:pPr>
              <w:pStyle w:val="15"/>
              <w:widowControl/>
              <w:jc w:val="center"/>
              <w:rPr>
                <w:rFonts w:ascii="Arial" w:hAnsi="Arial" w:cs="Arial"/>
                <w:bCs/>
              </w:rPr>
            </w:pPr>
            <w:r>
              <w:rPr>
                <w:rFonts w:hint="eastAsia" w:ascii="Arial" w:hAnsi="Arial" w:cs="Arial"/>
                <w:bCs/>
              </w:rPr>
              <w:t>SC43048100036</w:t>
            </w:r>
          </w:p>
        </w:tc>
        <w:tc>
          <w:tcPr>
            <w:tcW w:w="5055" w:type="dxa"/>
            <w:vAlign w:val="center"/>
          </w:tcPr>
          <w:p>
            <w:pPr>
              <w:pStyle w:val="15"/>
              <w:widowControl/>
              <w:jc w:val="center"/>
              <w:rPr>
                <w:rFonts w:ascii="Arial" w:hAnsi="Arial" w:cs="Arial"/>
                <w:bCs/>
              </w:rPr>
            </w:pPr>
            <w:r>
              <w:rPr>
                <w:rFonts w:hint="eastAsia" w:ascii="Arial" w:hAnsi="Arial" w:cs="Arial"/>
                <w:bCs/>
              </w:rPr>
              <w:t>导子镇邓山村建筑用花岗岩允许开采区</w:t>
            </w:r>
          </w:p>
        </w:tc>
        <w:tc>
          <w:tcPr>
            <w:tcW w:w="2641" w:type="dxa"/>
            <w:vAlign w:val="center"/>
          </w:tcPr>
          <w:p>
            <w:pPr>
              <w:pStyle w:val="15"/>
              <w:widowControl/>
              <w:jc w:val="center"/>
              <w:rPr>
                <w:rFonts w:ascii="Arial" w:hAnsi="Arial" w:cs="Arial"/>
                <w:bCs/>
              </w:rPr>
            </w:pPr>
            <w:r>
              <w:rPr>
                <w:rFonts w:hint="eastAsia" w:ascii="Arial" w:hAnsi="Arial" w:cs="Arial"/>
                <w:bCs/>
              </w:rPr>
              <w:t xml:space="preserve">导子镇邓山村 </w:t>
            </w:r>
          </w:p>
        </w:tc>
        <w:tc>
          <w:tcPr>
            <w:tcW w:w="1027" w:type="dxa"/>
            <w:vAlign w:val="center"/>
          </w:tcPr>
          <w:p>
            <w:pPr>
              <w:pStyle w:val="15"/>
              <w:widowControl/>
              <w:jc w:val="center"/>
              <w:rPr>
                <w:rFonts w:ascii="Arial" w:hAnsi="Arial" w:cs="Arial"/>
                <w:bCs/>
              </w:rPr>
            </w:pPr>
            <w:r>
              <w:rPr>
                <w:rFonts w:hint="eastAsia" w:ascii="Arial" w:hAnsi="Arial" w:cs="Arial"/>
                <w:bCs/>
              </w:rPr>
              <w:t>0.1003</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37</w:t>
            </w:r>
          </w:p>
        </w:tc>
        <w:tc>
          <w:tcPr>
            <w:tcW w:w="2201" w:type="dxa"/>
            <w:vAlign w:val="center"/>
          </w:tcPr>
          <w:p>
            <w:pPr>
              <w:pStyle w:val="15"/>
              <w:widowControl/>
              <w:jc w:val="center"/>
              <w:rPr>
                <w:rFonts w:ascii="Arial" w:hAnsi="Arial" w:cs="Arial"/>
                <w:bCs/>
              </w:rPr>
            </w:pPr>
            <w:r>
              <w:rPr>
                <w:rFonts w:hint="eastAsia" w:ascii="Arial" w:hAnsi="Arial" w:cs="Arial"/>
                <w:bCs/>
              </w:rPr>
              <w:t>SC43048100037</w:t>
            </w:r>
          </w:p>
        </w:tc>
        <w:tc>
          <w:tcPr>
            <w:tcW w:w="5055" w:type="dxa"/>
            <w:vAlign w:val="center"/>
          </w:tcPr>
          <w:p>
            <w:pPr>
              <w:pStyle w:val="15"/>
              <w:widowControl/>
              <w:jc w:val="center"/>
              <w:rPr>
                <w:rFonts w:ascii="Arial" w:hAnsi="Arial" w:cs="Arial"/>
                <w:bCs/>
              </w:rPr>
            </w:pPr>
            <w:r>
              <w:rPr>
                <w:rFonts w:hint="eastAsia" w:ascii="Arial" w:hAnsi="Arial" w:cs="Arial"/>
                <w:bCs/>
              </w:rPr>
              <w:t>导子镇上浔村建筑用花岗岩允许开采区</w:t>
            </w:r>
          </w:p>
        </w:tc>
        <w:tc>
          <w:tcPr>
            <w:tcW w:w="2641" w:type="dxa"/>
            <w:vAlign w:val="center"/>
          </w:tcPr>
          <w:p>
            <w:pPr>
              <w:pStyle w:val="15"/>
              <w:widowControl/>
              <w:jc w:val="center"/>
              <w:rPr>
                <w:rFonts w:ascii="Arial" w:hAnsi="Arial" w:cs="Arial"/>
                <w:bCs/>
              </w:rPr>
            </w:pPr>
            <w:r>
              <w:rPr>
                <w:rFonts w:hint="eastAsia" w:ascii="Arial" w:hAnsi="Arial" w:cs="Arial"/>
                <w:bCs/>
              </w:rPr>
              <w:t>导子镇</w:t>
            </w:r>
          </w:p>
        </w:tc>
        <w:tc>
          <w:tcPr>
            <w:tcW w:w="1027" w:type="dxa"/>
            <w:vAlign w:val="center"/>
          </w:tcPr>
          <w:p>
            <w:pPr>
              <w:pStyle w:val="15"/>
              <w:widowControl/>
              <w:jc w:val="center"/>
              <w:rPr>
                <w:rFonts w:ascii="Arial" w:hAnsi="Arial" w:cs="Arial"/>
                <w:bCs/>
              </w:rPr>
            </w:pPr>
            <w:r>
              <w:rPr>
                <w:rFonts w:hint="eastAsia" w:ascii="Arial" w:hAnsi="Arial" w:cs="Arial"/>
                <w:bCs/>
              </w:rPr>
              <w:t>0.261</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38</w:t>
            </w:r>
          </w:p>
        </w:tc>
        <w:tc>
          <w:tcPr>
            <w:tcW w:w="2201" w:type="dxa"/>
            <w:vAlign w:val="center"/>
          </w:tcPr>
          <w:p>
            <w:pPr>
              <w:pStyle w:val="15"/>
              <w:widowControl/>
              <w:jc w:val="center"/>
              <w:rPr>
                <w:rFonts w:ascii="Arial" w:hAnsi="Arial" w:cs="Arial"/>
                <w:bCs/>
              </w:rPr>
            </w:pPr>
            <w:r>
              <w:rPr>
                <w:rFonts w:hint="eastAsia" w:ascii="Arial" w:hAnsi="Arial" w:cs="Arial"/>
                <w:bCs/>
              </w:rPr>
              <w:t>SC43048100038</w:t>
            </w:r>
          </w:p>
        </w:tc>
        <w:tc>
          <w:tcPr>
            <w:tcW w:w="5055" w:type="dxa"/>
            <w:vAlign w:val="center"/>
          </w:tcPr>
          <w:p>
            <w:pPr>
              <w:pStyle w:val="15"/>
              <w:widowControl/>
              <w:jc w:val="center"/>
              <w:rPr>
                <w:rFonts w:ascii="Arial" w:hAnsi="Arial" w:cs="Arial"/>
                <w:bCs/>
              </w:rPr>
            </w:pPr>
            <w:r>
              <w:rPr>
                <w:rFonts w:hint="eastAsia" w:ascii="Arial" w:hAnsi="Arial" w:cs="Arial"/>
                <w:bCs/>
              </w:rPr>
              <w:t>马水镇贺塘村建筑用白云岩允许开采区</w:t>
            </w:r>
          </w:p>
        </w:tc>
        <w:tc>
          <w:tcPr>
            <w:tcW w:w="2641" w:type="dxa"/>
            <w:vAlign w:val="center"/>
          </w:tcPr>
          <w:p>
            <w:pPr>
              <w:pStyle w:val="15"/>
              <w:widowControl/>
              <w:jc w:val="center"/>
              <w:rPr>
                <w:rFonts w:ascii="Arial" w:hAnsi="Arial" w:cs="Arial"/>
                <w:bCs/>
              </w:rPr>
            </w:pPr>
            <w:r>
              <w:rPr>
                <w:rFonts w:hint="eastAsia" w:ascii="Arial" w:hAnsi="Arial" w:cs="Arial"/>
                <w:bCs/>
              </w:rPr>
              <w:t>马水镇</w:t>
            </w:r>
          </w:p>
        </w:tc>
        <w:tc>
          <w:tcPr>
            <w:tcW w:w="1027" w:type="dxa"/>
            <w:vAlign w:val="center"/>
          </w:tcPr>
          <w:p>
            <w:pPr>
              <w:pStyle w:val="15"/>
              <w:widowControl/>
              <w:jc w:val="center"/>
              <w:rPr>
                <w:rFonts w:ascii="Arial" w:hAnsi="Arial" w:cs="Arial"/>
                <w:bCs/>
              </w:rPr>
            </w:pPr>
            <w:r>
              <w:rPr>
                <w:rFonts w:hint="eastAsia" w:ascii="Arial" w:hAnsi="Arial" w:cs="Arial"/>
                <w:bCs/>
              </w:rPr>
              <w:t>0.0703</w:t>
            </w:r>
          </w:p>
        </w:tc>
        <w:tc>
          <w:tcPr>
            <w:tcW w:w="1044" w:type="dxa"/>
            <w:vAlign w:val="center"/>
          </w:tcPr>
          <w:p>
            <w:pPr>
              <w:pStyle w:val="15"/>
              <w:widowControl/>
              <w:jc w:val="center"/>
              <w:rPr>
                <w:rFonts w:ascii="Arial" w:hAnsi="Arial" w:cs="Arial"/>
                <w:bCs/>
              </w:rPr>
            </w:pPr>
            <w:r>
              <w:rPr>
                <w:rFonts w:hint="eastAsia" w:ascii="Arial" w:hAnsi="Arial" w:cs="Arial"/>
                <w:bCs/>
              </w:rPr>
              <w:t>1</w:t>
            </w:r>
          </w:p>
        </w:tc>
        <w:tc>
          <w:tcPr>
            <w:tcW w:w="1125" w:type="dxa"/>
            <w:vAlign w:val="center"/>
          </w:tcPr>
          <w:p>
            <w:pPr>
              <w:pStyle w:val="15"/>
              <w:widowControl/>
              <w:jc w:val="center"/>
              <w:rPr>
                <w:rFonts w:ascii="Arial" w:hAnsi="Arial" w:cs="Arial"/>
                <w:bCs/>
              </w:rPr>
            </w:pPr>
            <w:r>
              <w:rPr>
                <w:rFonts w:hint="eastAsia" w:ascii="Arial" w:hAnsi="Arial" w:cs="Arial"/>
                <w:bCs/>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1" w:type="dxa"/>
            <w:vAlign w:val="center"/>
          </w:tcPr>
          <w:p>
            <w:pPr>
              <w:pStyle w:val="15"/>
              <w:widowControl/>
              <w:jc w:val="center"/>
              <w:rPr>
                <w:rFonts w:ascii="Arial" w:hAnsi="Arial" w:cs="Arial"/>
                <w:bCs/>
              </w:rPr>
            </w:pPr>
            <w:r>
              <w:rPr>
                <w:rFonts w:hint="eastAsia" w:ascii="Arial" w:hAnsi="Arial" w:cs="Arial"/>
                <w:bCs/>
              </w:rPr>
              <w:t>39</w:t>
            </w:r>
          </w:p>
        </w:tc>
        <w:tc>
          <w:tcPr>
            <w:tcW w:w="2201" w:type="dxa"/>
            <w:vAlign w:val="center"/>
          </w:tcPr>
          <w:p>
            <w:pPr>
              <w:pStyle w:val="15"/>
              <w:widowControl/>
              <w:jc w:val="center"/>
              <w:rPr>
                <w:rFonts w:ascii="Arial" w:hAnsi="Arial" w:cs="Arial"/>
                <w:bCs/>
              </w:rPr>
            </w:pPr>
            <w:r>
              <w:rPr>
                <w:rFonts w:hint="eastAsia" w:ascii="Arial" w:hAnsi="Arial" w:cs="Arial"/>
                <w:bCs/>
              </w:rPr>
              <w:t>SC43048100039</w:t>
            </w:r>
          </w:p>
        </w:tc>
        <w:tc>
          <w:tcPr>
            <w:tcW w:w="5055" w:type="dxa"/>
            <w:vAlign w:val="center"/>
          </w:tcPr>
          <w:p>
            <w:pPr>
              <w:pStyle w:val="15"/>
              <w:widowControl/>
              <w:jc w:val="center"/>
              <w:rPr>
                <w:rFonts w:ascii="Arial" w:hAnsi="Arial" w:cs="Arial"/>
                <w:bCs/>
              </w:rPr>
            </w:pPr>
            <w:r>
              <w:rPr>
                <w:rFonts w:hint="eastAsia" w:ascii="Arial" w:hAnsi="Arial" w:cs="Arial"/>
                <w:bCs/>
              </w:rPr>
              <w:t>亮源乡余升村建筑用花岗岩允许开采区</w:t>
            </w:r>
          </w:p>
        </w:tc>
        <w:tc>
          <w:tcPr>
            <w:tcW w:w="2641" w:type="dxa"/>
            <w:vAlign w:val="center"/>
          </w:tcPr>
          <w:p>
            <w:pPr>
              <w:pStyle w:val="15"/>
              <w:widowControl/>
              <w:jc w:val="center"/>
              <w:rPr>
                <w:rFonts w:ascii="Arial" w:hAnsi="Arial" w:cs="Arial"/>
                <w:bCs/>
              </w:rPr>
            </w:pPr>
            <w:r>
              <w:rPr>
                <w:rFonts w:hint="eastAsia" w:ascii="Arial" w:hAnsi="Arial" w:cs="Arial"/>
                <w:bCs/>
              </w:rPr>
              <w:t>亮源乡</w:t>
            </w:r>
          </w:p>
        </w:tc>
        <w:tc>
          <w:tcPr>
            <w:tcW w:w="1027" w:type="dxa"/>
            <w:vAlign w:val="center"/>
          </w:tcPr>
          <w:p>
            <w:pPr>
              <w:pStyle w:val="15"/>
              <w:widowControl/>
              <w:jc w:val="center"/>
              <w:rPr>
                <w:rFonts w:ascii="Arial" w:hAnsi="Arial" w:cs="Arial"/>
                <w:bCs/>
              </w:rPr>
            </w:pPr>
            <w:r>
              <w:rPr>
                <w:rFonts w:hint="eastAsia" w:ascii="Arial" w:hAnsi="Arial" w:cs="Arial"/>
                <w:bCs/>
              </w:rPr>
              <w:t>0.4349</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40</w:t>
            </w:r>
          </w:p>
        </w:tc>
        <w:tc>
          <w:tcPr>
            <w:tcW w:w="2201" w:type="dxa"/>
            <w:vAlign w:val="center"/>
          </w:tcPr>
          <w:p>
            <w:pPr>
              <w:pStyle w:val="15"/>
              <w:widowControl/>
              <w:jc w:val="center"/>
              <w:rPr>
                <w:rFonts w:ascii="Arial" w:hAnsi="Arial" w:cs="Arial"/>
                <w:bCs/>
              </w:rPr>
            </w:pPr>
            <w:r>
              <w:rPr>
                <w:rFonts w:hint="eastAsia" w:ascii="Arial" w:hAnsi="Arial" w:cs="Arial"/>
                <w:bCs/>
              </w:rPr>
              <w:t>SC43048100040</w:t>
            </w:r>
          </w:p>
        </w:tc>
        <w:tc>
          <w:tcPr>
            <w:tcW w:w="5055" w:type="dxa"/>
            <w:vAlign w:val="center"/>
          </w:tcPr>
          <w:p>
            <w:pPr>
              <w:pStyle w:val="15"/>
              <w:widowControl/>
              <w:jc w:val="center"/>
              <w:rPr>
                <w:rFonts w:ascii="Arial" w:hAnsi="Arial" w:cs="Arial"/>
                <w:bCs/>
              </w:rPr>
            </w:pPr>
            <w:r>
              <w:rPr>
                <w:rFonts w:hint="eastAsia" w:ascii="Arial" w:hAnsi="Arial" w:cs="Arial"/>
                <w:bCs/>
              </w:rPr>
              <w:t>马水镇桥头村建筑用白云岩允许开采区</w:t>
            </w:r>
          </w:p>
        </w:tc>
        <w:tc>
          <w:tcPr>
            <w:tcW w:w="2641" w:type="dxa"/>
            <w:vAlign w:val="center"/>
          </w:tcPr>
          <w:p>
            <w:pPr>
              <w:pStyle w:val="15"/>
              <w:widowControl/>
              <w:jc w:val="center"/>
              <w:rPr>
                <w:rFonts w:ascii="Arial" w:hAnsi="Arial" w:cs="Arial"/>
                <w:bCs/>
              </w:rPr>
            </w:pPr>
            <w:r>
              <w:rPr>
                <w:rFonts w:hint="eastAsia" w:ascii="Arial" w:hAnsi="Arial" w:cs="Arial"/>
                <w:bCs/>
              </w:rPr>
              <w:t>马水镇</w:t>
            </w:r>
          </w:p>
        </w:tc>
        <w:tc>
          <w:tcPr>
            <w:tcW w:w="1027" w:type="dxa"/>
            <w:vAlign w:val="center"/>
          </w:tcPr>
          <w:p>
            <w:pPr>
              <w:pStyle w:val="15"/>
              <w:widowControl/>
              <w:jc w:val="center"/>
              <w:rPr>
                <w:rFonts w:ascii="Arial" w:hAnsi="Arial" w:cs="Arial"/>
                <w:bCs/>
              </w:rPr>
            </w:pPr>
            <w:r>
              <w:rPr>
                <w:rFonts w:hint="eastAsia" w:ascii="Arial" w:hAnsi="Arial" w:cs="Arial"/>
                <w:bCs/>
              </w:rPr>
              <w:t>0.2044</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41</w:t>
            </w:r>
          </w:p>
        </w:tc>
        <w:tc>
          <w:tcPr>
            <w:tcW w:w="2201" w:type="dxa"/>
            <w:vAlign w:val="center"/>
          </w:tcPr>
          <w:p>
            <w:pPr>
              <w:pStyle w:val="15"/>
              <w:widowControl/>
              <w:jc w:val="center"/>
              <w:rPr>
                <w:rFonts w:ascii="Arial" w:hAnsi="Arial" w:cs="Arial"/>
                <w:bCs/>
              </w:rPr>
            </w:pPr>
            <w:r>
              <w:rPr>
                <w:rFonts w:hint="eastAsia" w:ascii="Arial" w:hAnsi="Arial" w:cs="Arial"/>
                <w:bCs/>
              </w:rPr>
              <w:t>SC43048100041</w:t>
            </w:r>
          </w:p>
        </w:tc>
        <w:tc>
          <w:tcPr>
            <w:tcW w:w="5055" w:type="dxa"/>
            <w:vAlign w:val="center"/>
          </w:tcPr>
          <w:p>
            <w:pPr>
              <w:pStyle w:val="15"/>
              <w:widowControl/>
              <w:jc w:val="center"/>
              <w:rPr>
                <w:rFonts w:ascii="Arial" w:hAnsi="Arial" w:cs="Arial"/>
                <w:bCs/>
              </w:rPr>
            </w:pPr>
            <w:r>
              <w:rPr>
                <w:rFonts w:hint="eastAsia" w:ascii="Arial" w:hAnsi="Arial" w:cs="Arial"/>
                <w:bCs/>
              </w:rPr>
              <w:t>太平圩乡皂田村建筑石料用灰岩允许开采区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太平圩乡</w:t>
            </w:r>
          </w:p>
        </w:tc>
        <w:tc>
          <w:tcPr>
            <w:tcW w:w="1027" w:type="dxa"/>
            <w:vAlign w:val="center"/>
          </w:tcPr>
          <w:p>
            <w:pPr>
              <w:pStyle w:val="15"/>
              <w:widowControl/>
              <w:jc w:val="center"/>
              <w:rPr>
                <w:rFonts w:ascii="Arial" w:hAnsi="Arial" w:cs="Arial"/>
                <w:bCs/>
              </w:rPr>
            </w:pPr>
            <w:r>
              <w:rPr>
                <w:rFonts w:hint="eastAsia" w:ascii="Arial" w:hAnsi="Arial" w:cs="Arial"/>
                <w:bCs/>
              </w:rPr>
              <w:t>0.2608</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42</w:t>
            </w:r>
          </w:p>
        </w:tc>
        <w:tc>
          <w:tcPr>
            <w:tcW w:w="2201" w:type="dxa"/>
            <w:vAlign w:val="center"/>
          </w:tcPr>
          <w:p>
            <w:pPr>
              <w:pStyle w:val="15"/>
              <w:widowControl/>
              <w:jc w:val="center"/>
              <w:rPr>
                <w:rFonts w:ascii="Arial" w:hAnsi="Arial" w:cs="Arial"/>
                <w:bCs/>
              </w:rPr>
            </w:pPr>
            <w:r>
              <w:rPr>
                <w:rFonts w:hint="eastAsia" w:ascii="Arial" w:hAnsi="Arial" w:cs="Arial"/>
                <w:bCs/>
              </w:rPr>
              <w:t>SC43048100042</w:t>
            </w:r>
          </w:p>
        </w:tc>
        <w:tc>
          <w:tcPr>
            <w:tcW w:w="5055" w:type="dxa"/>
            <w:vAlign w:val="center"/>
          </w:tcPr>
          <w:p>
            <w:pPr>
              <w:pStyle w:val="15"/>
              <w:widowControl/>
              <w:jc w:val="center"/>
              <w:rPr>
                <w:rFonts w:ascii="Arial" w:hAnsi="Arial" w:cs="Arial"/>
                <w:bCs/>
              </w:rPr>
            </w:pPr>
            <w:r>
              <w:rPr>
                <w:rFonts w:hint="eastAsia" w:ascii="Arial" w:hAnsi="Arial" w:cs="Arial"/>
                <w:bCs/>
              </w:rPr>
              <w:t>余庆街道办事处黄沙村建筑石料用灰岩允许开采区</w:t>
            </w:r>
          </w:p>
        </w:tc>
        <w:tc>
          <w:tcPr>
            <w:tcW w:w="2641" w:type="dxa"/>
            <w:vAlign w:val="center"/>
          </w:tcPr>
          <w:p>
            <w:pPr>
              <w:pStyle w:val="15"/>
              <w:widowControl/>
              <w:jc w:val="center"/>
              <w:rPr>
                <w:rFonts w:ascii="Arial" w:hAnsi="Arial" w:cs="Arial"/>
                <w:bCs/>
              </w:rPr>
            </w:pPr>
            <w:r>
              <w:rPr>
                <w:rFonts w:hint="eastAsia" w:ascii="Arial" w:hAnsi="Arial" w:cs="Arial"/>
                <w:bCs/>
              </w:rPr>
              <w:t>余庆街道办事处</w:t>
            </w:r>
          </w:p>
        </w:tc>
        <w:tc>
          <w:tcPr>
            <w:tcW w:w="1027" w:type="dxa"/>
            <w:vAlign w:val="center"/>
          </w:tcPr>
          <w:p>
            <w:pPr>
              <w:pStyle w:val="15"/>
              <w:widowControl/>
              <w:jc w:val="center"/>
              <w:rPr>
                <w:rFonts w:ascii="Arial" w:hAnsi="Arial" w:cs="Arial"/>
                <w:bCs/>
              </w:rPr>
            </w:pPr>
            <w:r>
              <w:rPr>
                <w:rFonts w:hint="eastAsia" w:ascii="Arial" w:hAnsi="Arial" w:cs="Arial"/>
                <w:bCs/>
              </w:rPr>
              <w:t>0.2936</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ascii="Arial" w:hAnsi="Arial" w:cs="Arial"/>
                <w:bCs/>
              </w:rPr>
            </w:pPr>
            <w:r>
              <w:rPr>
                <w:rFonts w:hint="eastAsia" w:ascii="Arial" w:hAnsi="Arial" w:cs="Arial"/>
                <w:bCs/>
              </w:rPr>
              <w:t>43</w:t>
            </w:r>
          </w:p>
        </w:tc>
        <w:tc>
          <w:tcPr>
            <w:tcW w:w="2201" w:type="dxa"/>
            <w:vAlign w:val="center"/>
          </w:tcPr>
          <w:p>
            <w:pPr>
              <w:pStyle w:val="15"/>
              <w:widowControl/>
              <w:jc w:val="center"/>
              <w:rPr>
                <w:rFonts w:ascii="Arial" w:hAnsi="Arial" w:cs="Arial"/>
                <w:bCs/>
              </w:rPr>
            </w:pPr>
            <w:r>
              <w:rPr>
                <w:rFonts w:hint="eastAsia" w:ascii="Arial" w:hAnsi="Arial" w:cs="Arial"/>
                <w:bCs/>
              </w:rPr>
              <w:t>SC43048100043</w:t>
            </w:r>
          </w:p>
        </w:tc>
        <w:tc>
          <w:tcPr>
            <w:tcW w:w="5055" w:type="dxa"/>
            <w:vAlign w:val="center"/>
          </w:tcPr>
          <w:p>
            <w:pPr>
              <w:pStyle w:val="15"/>
              <w:widowControl/>
              <w:jc w:val="center"/>
              <w:rPr>
                <w:rFonts w:ascii="Arial" w:hAnsi="Arial" w:cs="Arial"/>
                <w:bCs/>
              </w:rPr>
            </w:pPr>
            <w:r>
              <w:rPr>
                <w:rFonts w:hint="eastAsia" w:ascii="Arial" w:hAnsi="Arial" w:cs="Arial"/>
                <w:bCs/>
              </w:rPr>
              <w:t>南阳镇淝江村建筑用砂岩允许开采区</w:t>
            </w:r>
          </w:p>
        </w:tc>
        <w:tc>
          <w:tcPr>
            <w:tcW w:w="2641" w:type="dxa"/>
            <w:vAlign w:val="center"/>
          </w:tcPr>
          <w:p>
            <w:pPr>
              <w:pStyle w:val="15"/>
              <w:widowControl/>
              <w:jc w:val="center"/>
              <w:rPr>
                <w:rFonts w:ascii="Arial" w:hAnsi="Arial" w:cs="Arial"/>
                <w:bCs/>
              </w:rPr>
            </w:pPr>
            <w:r>
              <w:rPr>
                <w:rFonts w:hint="eastAsia" w:ascii="Arial" w:hAnsi="Arial" w:cs="Arial"/>
                <w:bCs/>
              </w:rPr>
              <w:t>南阳镇淝江村</w:t>
            </w:r>
          </w:p>
        </w:tc>
        <w:tc>
          <w:tcPr>
            <w:tcW w:w="1027" w:type="dxa"/>
            <w:vAlign w:val="center"/>
          </w:tcPr>
          <w:p>
            <w:pPr>
              <w:pStyle w:val="15"/>
              <w:widowControl/>
              <w:jc w:val="center"/>
              <w:rPr>
                <w:rFonts w:ascii="Arial" w:hAnsi="Arial" w:cs="Arial"/>
                <w:bCs/>
              </w:rPr>
            </w:pPr>
            <w:r>
              <w:rPr>
                <w:rFonts w:hint="eastAsia" w:ascii="Arial" w:hAnsi="Arial" w:cs="Arial"/>
                <w:bCs/>
              </w:rPr>
              <w:t>0.1523</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vAlign w:val="center"/>
          </w:tcPr>
          <w:p>
            <w:pPr>
              <w:pStyle w:val="15"/>
              <w:widowControl/>
              <w:jc w:val="center"/>
              <w:rPr>
                <w:rFonts w:hint="default" w:ascii="Arial" w:hAnsi="Arial" w:eastAsia="宋体" w:cs="Arial"/>
                <w:bCs/>
                <w:lang w:val="en-US" w:eastAsia="zh-CN"/>
              </w:rPr>
            </w:pPr>
            <w:r>
              <w:rPr>
                <w:rFonts w:hint="eastAsia" w:ascii="Arial" w:hAnsi="Arial" w:cs="Arial"/>
                <w:bCs/>
                <w:lang w:val="en-US" w:eastAsia="zh-CN"/>
              </w:rPr>
              <w:t>44</w:t>
            </w:r>
          </w:p>
        </w:tc>
        <w:tc>
          <w:tcPr>
            <w:tcW w:w="2201" w:type="dxa"/>
            <w:vAlign w:val="center"/>
          </w:tcPr>
          <w:p>
            <w:pPr>
              <w:pStyle w:val="15"/>
              <w:widowControl/>
              <w:jc w:val="center"/>
              <w:rPr>
                <w:rFonts w:hint="eastAsia" w:ascii="Arial" w:hAnsi="Arial" w:eastAsia="宋体" w:cs="Arial"/>
                <w:bCs/>
                <w:lang w:val="en-US" w:eastAsia="zh-CN"/>
              </w:rPr>
            </w:pPr>
            <w:r>
              <w:rPr>
                <w:rFonts w:hint="eastAsia" w:ascii="Arial" w:hAnsi="Arial" w:cs="Arial"/>
                <w:bCs/>
              </w:rPr>
              <w:t>SC4304810004</w:t>
            </w:r>
            <w:r>
              <w:rPr>
                <w:rFonts w:hint="eastAsia" w:ascii="Arial" w:hAnsi="Arial" w:cs="Arial"/>
                <w:bCs/>
                <w:lang w:val="en-US" w:eastAsia="zh-CN"/>
              </w:rPr>
              <w:t>4</w:t>
            </w:r>
          </w:p>
        </w:tc>
        <w:tc>
          <w:tcPr>
            <w:tcW w:w="5055" w:type="dxa"/>
            <w:vAlign w:val="center"/>
          </w:tcPr>
          <w:p>
            <w:pPr>
              <w:pStyle w:val="15"/>
              <w:widowControl/>
              <w:jc w:val="center"/>
              <w:rPr>
                <w:rFonts w:hint="eastAsia" w:ascii="Arial" w:hAnsi="Arial" w:cs="Arial"/>
                <w:bCs/>
              </w:rPr>
            </w:pPr>
            <w:r>
              <w:rPr>
                <w:rFonts w:hint="eastAsia" w:ascii="Arial" w:hAnsi="Arial" w:cs="Arial"/>
                <w:bCs/>
              </w:rPr>
              <w:t>东湖镇小塘村建筑石料用灰岩允许开采区</w:t>
            </w:r>
          </w:p>
        </w:tc>
        <w:tc>
          <w:tcPr>
            <w:tcW w:w="2641" w:type="dxa"/>
            <w:vAlign w:val="center"/>
          </w:tcPr>
          <w:p>
            <w:pPr>
              <w:pStyle w:val="15"/>
              <w:widowControl/>
              <w:jc w:val="center"/>
              <w:rPr>
                <w:rFonts w:hint="eastAsia" w:ascii="Arial" w:hAnsi="Arial" w:cs="Arial"/>
                <w:bCs/>
              </w:rPr>
            </w:pPr>
            <w:r>
              <w:rPr>
                <w:rFonts w:hint="eastAsia" w:ascii="Arial" w:hAnsi="Arial" w:cs="Arial"/>
                <w:bCs/>
              </w:rPr>
              <w:t>东湖镇小塘村</w:t>
            </w:r>
          </w:p>
        </w:tc>
        <w:tc>
          <w:tcPr>
            <w:tcW w:w="1027" w:type="dxa"/>
            <w:vAlign w:val="center"/>
          </w:tcPr>
          <w:p>
            <w:pPr>
              <w:pStyle w:val="15"/>
              <w:widowControl/>
              <w:jc w:val="center"/>
              <w:rPr>
                <w:rFonts w:hint="default" w:ascii="Arial" w:hAnsi="Arial" w:eastAsia="宋体" w:cs="Arial"/>
                <w:bCs/>
                <w:lang w:val="en-US" w:eastAsia="zh-CN"/>
              </w:rPr>
            </w:pPr>
            <w:r>
              <w:rPr>
                <w:rFonts w:hint="eastAsia" w:ascii="Arial" w:hAnsi="Arial" w:cs="Arial"/>
                <w:bCs/>
                <w:lang w:val="en-US" w:eastAsia="zh-CN"/>
              </w:rPr>
              <w:t>0.1194</w:t>
            </w:r>
          </w:p>
        </w:tc>
        <w:tc>
          <w:tcPr>
            <w:tcW w:w="1044" w:type="dxa"/>
            <w:vAlign w:val="center"/>
          </w:tcPr>
          <w:p>
            <w:pPr>
              <w:pStyle w:val="15"/>
              <w:widowControl/>
              <w:jc w:val="center"/>
              <w:rPr>
                <w:rFonts w:ascii="Arial" w:hAnsi="Arial" w:cs="Arial"/>
                <w:bCs/>
              </w:rPr>
            </w:pPr>
          </w:p>
        </w:tc>
        <w:tc>
          <w:tcPr>
            <w:tcW w:w="1125" w:type="dxa"/>
            <w:vAlign w:val="center"/>
          </w:tcPr>
          <w:p>
            <w:pPr>
              <w:pStyle w:val="15"/>
              <w:widowControl/>
              <w:jc w:val="center"/>
              <w:rPr>
                <w:rFonts w:hint="eastAsia" w:ascii="Arial" w:hAnsi="Arial" w:cs="Arial"/>
                <w:bCs/>
              </w:rPr>
            </w:pPr>
            <w:r>
              <w:rPr>
                <w:rFonts w:hint="eastAsia" w:ascii="Arial" w:hAnsi="Arial" w:cs="Arial"/>
                <w:bCs/>
              </w:rPr>
              <w:t>备选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trPr>
        <w:tc>
          <w:tcPr>
            <w:tcW w:w="791" w:type="dxa"/>
          </w:tcPr>
          <w:p>
            <w:pPr>
              <w:pStyle w:val="15"/>
              <w:widowControl/>
              <w:jc w:val="center"/>
              <w:rPr>
                <w:rFonts w:ascii="Arial" w:hAnsi="Arial" w:cs="Arial"/>
                <w:bCs/>
              </w:rPr>
            </w:pPr>
            <w:r>
              <w:rPr>
                <w:rFonts w:hint="eastAsia" w:ascii="Arial" w:hAnsi="Arial" w:cs="Arial"/>
                <w:bCs/>
              </w:rPr>
              <w:t>合计</w:t>
            </w:r>
          </w:p>
        </w:tc>
        <w:tc>
          <w:tcPr>
            <w:tcW w:w="2201" w:type="dxa"/>
            <w:vAlign w:val="center"/>
          </w:tcPr>
          <w:p>
            <w:pPr>
              <w:pStyle w:val="15"/>
              <w:widowControl/>
              <w:jc w:val="center"/>
              <w:rPr>
                <w:rFonts w:ascii="Arial" w:hAnsi="Arial" w:cs="Arial"/>
                <w:bCs/>
              </w:rPr>
            </w:pPr>
          </w:p>
        </w:tc>
        <w:tc>
          <w:tcPr>
            <w:tcW w:w="5055" w:type="dxa"/>
            <w:vAlign w:val="center"/>
          </w:tcPr>
          <w:p>
            <w:pPr>
              <w:pStyle w:val="15"/>
              <w:widowControl/>
              <w:jc w:val="center"/>
              <w:rPr>
                <w:rFonts w:ascii="Arial" w:hAnsi="Arial" w:cs="Arial"/>
                <w:bCs/>
              </w:rPr>
            </w:pPr>
          </w:p>
        </w:tc>
        <w:tc>
          <w:tcPr>
            <w:tcW w:w="2641" w:type="dxa"/>
            <w:vAlign w:val="center"/>
          </w:tcPr>
          <w:p>
            <w:pPr>
              <w:pStyle w:val="15"/>
              <w:widowControl/>
              <w:jc w:val="center"/>
              <w:rPr>
                <w:rFonts w:hint="eastAsia" w:ascii="Arial" w:hAnsi="Arial" w:cs="Arial"/>
                <w:bCs/>
                <w:lang w:val="en-US" w:eastAsia="zh-CN"/>
              </w:rPr>
            </w:pPr>
          </w:p>
        </w:tc>
        <w:tc>
          <w:tcPr>
            <w:tcW w:w="1027" w:type="dxa"/>
            <w:vAlign w:val="center"/>
          </w:tcPr>
          <w:p>
            <w:pPr>
              <w:pStyle w:val="15"/>
              <w:widowControl/>
              <w:jc w:val="center"/>
              <w:rPr>
                <w:rFonts w:hint="default" w:ascii="Arial" w:hAnsi="Arial" w:cs="Arial"/>
                <w:bCs/>
                <w:lang w:val="en-US" w:eastAsia="zh-CN"/>
              </w:rPr>
            </w:pPr>
            <w:r>
              <w:rPr>
                <w:rFonts w:hint="eastAsia" w:ascii="Arial" w:hAnsi="Arial" w:cs="Arial"/>
                <w:bCs/>
                <w:lang w:val="en-US" w:eastAsia="zh-CN"/>
              </w:rPr>
              <w:t>8.2953</w:t>
            </w:r>
          </w:p>
        </w:tc>
        <w:tc>
          <w:tcPr>
            <w:tcW w:w="1044" w:type="dxa"/>
            <w:vAlign w:val="center"/>
          </w:tcPr>
          <w:p>
            <w:pPr>
              <w:pStyle w:val="15"/>
              <w:widowControl/>
              <w:jc w:val="center"/>
              <w:rPr>
                <w:rFonts w:ascii="Arial" w:hAnsi="Arial" w:cs="Arial"/>
                <w:bCs/>
              </w:rPr>
            </w:pPr>
            <w:r>
              <w:rPr>
                <w:rFonts w:hint="eastAsia" w:ascii="Arial" w:hAnsi="Arial" w:cs="Arial"/>
                <w:bCs/>
              </w:rPr>
              <w:t>27</w:t>
            </w:r>
          </w:p>
        </w:tc>
        <w:tc>
          <w:tcPr>
            <w:tcW w:w="1125" w:type="dxa"/>
            <w:vAlign w:val="center"/>
          </w:tcPr>
          <w:p>
            <w:pPr>
              <w:pStyle w:val="15"/>
              <w:widowControl/>
              <w:jc w:val="center"/>
              <w:rPr>
                <w:rFonts w:ascii="Arial" w:hAnsi="Arial" w:cs="Arial"/>
                <w:bCs/>
              </w:rPr>
            </w:pPr>
            <w:r>
              <w:rPr>
                <w:rFonts w:hint="eastAsia" w:ascii="Arial" w:hAnsi="Arial" w:cs="Arial"/>
                <w:bCs/>
              </w:rPr>
              <w:t>23</w:t>
            </w:r>
          </w:p>
        </w:tc>
      </w:tr>
    </w:tbl>
    <w:p>
      <w:pPr>
        <w:widowControl/>
        <w:jc w:val="center"/>
        <w:textAlignment w:val="center"/>
        <w:rPr>
          <w:rFonts w:ascii="Arial" w:hAnsi="Arial" w:cs="Arial"/>
          <w:bCs/>
          <w:kern w:val="0"/>
          <w:sz w:val="24"/>
        </w:rPr>
      </w:pPr>
    </w:p>
    <w:p>
      <w:pPr>
        <w:pStyle w:val="2"/>
        <w:ind w:firstLine="240"/>
        <w:rPr>
          <w:rFonts w:ascii="Arial" w:hAnsi="Arial" w:cs="Arial"/>
          <w:kern w:val="0"/>
          <w:sz w:val="24"/>
        </w:rPr>
        <w:sectPr>
          <w:pgSz w:w="16838" w:h="11906" w:orient="landscape"/>
          <w:pgMar w:top="1803" w:right="1440" w:bottom="1803" w:left="1440" w:header="851" w:footer="992" w:gutter="0"/>
          <w:cols w:space="0" w:num="1"/>
          <w:docGrid w:type="lines" w:linePitch="319" w:charSpace="0"/>
        </w:sectPr>
      </w:pPr>
    </w:p>
    <w:bookmarkEnd w:id="14"/>
    <w:p>
      <w:pPr>
        <w:pStyle w:val="5"/>
        <w:ind w:firstLine="562" w:firstLineChars="200"/>
        <w:rPr>
          <w:rFonts w:hint="default" w:asciiTheme="minorEastAsia" w:hAnsiTheme="minorEastAsia" w:eastAsiaTheme="minorEastAsia" w:cstheme="minorEastAsia"/>
          <w:sz w:val="28"/>
          <w:szCs w:val="28"/>
        </w:rPr>
      </w:pPr>
      <w:bookmarkStart w:id="15" w:name="_Toc3543"/>
      <w:r>
        <w:rPr>
          <w:rFonts w:asciiTheme="minorEastAsia" w:hAnsiTheme="minorEastAsia" w:eastAsiaTheme="minorEastAsia" w:cstheme="minorEastAsia"/>
          <w:sz w:val="28"/>
          <w:szCs w:val="28"/>
        </w:rPr>
        <w:t>(三)开采准入条件</w:t>
      </w:r>
      <w:bookmarkEnd w:id="15"/>
    </w:p>
    <w:p>
      <w:pPr>
        <w:ind w:firstLine="560"/>
        <w:rPr>
          <w:sz w:val="28"/>
          <w:szCs w:val="28"/>
        </w:rPr>
      </w:pPr>
      <w:r>
        <w:rPr>
          <w:sz w:val="28"/>
          <w:szCs w:val="28"/>
        </w:rPr>
        <w:t>（</w:t>
      </w:r>
      <w:r>
        <w:rPr>
          <w:rFonts w:hint="eastAsia"/>
          <w:sz w:val="28"/>
          <w:szCs w:val="28"/>
        </w:rPr>
        <w:t>1）</w:t>
      </w:r>
      <w:r>
        <w:rPr>
          <w:rFonts w:cs="Arial Unicode MS"/>
          <w:spacing w:val="-3"/>
          <w:sz w:val="28"/>
          <w:szCs w:val="28"/>
        </w:rPr>
        <w:t>开采规划区块</w:t>
      </w:r>
      <w:r>
        <w:rPr>
          <w:rFonts w:cs="Arial Unicode MS"/>
          <w:spacing w:val="-8"/>
          <w:sz w:val="28"/>
          <w:szCs w:val="28"/>
        </w:rPr>
        <w:t>不得位于禁止开采区之内，</w:t>
      </w:r>
      <w:r>
        <w:rPr>
          <w:rFonts w:hint="eastAsia"/>
          <w:sz w:val="28"/>
          <w:szCs w:val="28"/>
        </w:rPr>
        <w:t>应避让各类保护地、生态保护红线、永久基本农田、城镇开发边界等。</w:t>
      </w:r>
      <w:r>
        <w:rPr>
          <w:rFonts w:cs="Arial Unicode MS"/>
          <w:spacing w:val="-3"/>
          <w:sz w:val="28"/>
          <w:szCs w:val="28"/>
        </w:rPr>
        <w:t>（</w:t>
      </w:r>
      <w:r>
        <w:rPr>
          <w:rFonts w:hint="eastAsia" w:cs="Arial Unicode MS"/>
          <w:spacing w:val="-3"/>
          <w:sz w:val="28"/>
          <w:szCs w:val="28"/>
        </w:rPr>
        <w:t>2）</w:t>
      </w:r>
      <w:r>
        <w:rPr>
          <w:rFonts w:cs="Arial Unicode MS"/>
          <w:spacing w:val="-9"/>
          <w:sz w:val="28"/>
          <w:szCs w:val="28"/>
        </w:rPr>
        <w:t>资源条件达到开发利用要求，规划保留矿山保有资源储量</w:t>
      </w:r>
      <w:r>
        <w:rPr>
          <w:sz w:val="28"/>
          <w:szCs w:val="28"/>
        </w:rPr>
        <w:t>100</w:t>
      </w:r>
      <w:r>
        <w:rPr>
          <w:rFonts w:cs="Arial Unicode MS"/>
          <w:sz w:val="28"/>
          <w:szCs w:val="28"/>
        </w:rPr>
        <w:t>万吨以上。</w:t>
      </w:r>
      <w:r>
        <w:rPr>
          <w:rFonts w:hint="eastAsia" w:cs="Arial Unicode MS"/>
          <w:sz w:val="28"/>
          <w:szCs w:val="28"/>
        </w:rPr>
        <w:t>（3）</w:t>
      </w:r>
      <w:r>
        <w:rPr>
          <w:sz w:val="28"/>
          <w:szCs w:val="28"/>
        </w:rPr>
        <w:t>规划保留扩界矿山，年生产规模10万吨以上，</w:t>
      </w:r>
      <w:r>
        <w:rPr>
          <w:rFonts w:hint="eastAsia"/>
          <w:sz w:val="28"/>
          <w:szCs w:val="28"/>
        </w:rPr>
        <w:t>3年内</w:t>
      </w:r>
      <w:r>
        <w:rPr>
          <w:sz w:val="28"/>
          <w:szCs w:val="28"/>
        </w:rPr>
        <w:t>整改达到30万吨以上。（</w:t>
      </w:r>
      <w:r>
        <w:rPr>
          <w:rFonts w:hint="eastAsia"/>
          <w:sz w:val="28"/>
          <w:szCs w:val="28"/>
        </w:rPr>
        <w:t>4）开采规划区块不位于铁路、高速公路、国道、省道、电力线路、天然气管道的一定范围之内，与居民点、重要构筑物、其他采矿权等保留300米以上的安全距离。（5）开采规划区块面积原则上不小于0.1平方公里。（6）矿产资源开发应达到综合利用要求。（7）采用露天开采方式，严格按台阶式分层开采，尽量减少终了边坡的高差，消除安全生产隐患和地质灾害隐患。（8）</w:t>
      </w:r>
      <w:r>
        <w:rPr>
          <w:sz w:val="28"/>
          <w:szCs w:val="28"/>
        </w:rPr>
        <w:t>应按相关要求及时开展矿山生态环境保护和修复治理工作。（</w:t>
      </w:r>
      <w:r>
        <w:rPr>
          <w:rFonts w:hint="eastAsia"/>
          <w:sz w:val="28"/>
          <w:szCs w:val="28"/>
        </w:rPr>
        <w:t>9）实现矿山安全生产达标，全面推进矿山安全标准化建设。</w:t>
      </w:r>
      <w:r>
        <w:rPr>
          <w:sz w:val="28"/>
          <w:szCs w:val="28"/>
        </w:rPr>
        <w:t>（</w:t>
      </w:r>
      <w:r>
        <w:rPr>
          <w:rFonts w:hint="eastAsia"/>
          <w:sz w:val="28"/>
          <w:szCs w:val="28"/>
        </w:rPr>
        <w:t>10）</w:t>
      </w:r>
      <w:r>
        <w:rPr>
          <w:sz w:val="28"/>
          <w:szCs w:val="28"/>
        </w:rPr>
        <w:t>新设矿山</w:t>
      </w:r>
      <w:r>
        <w:rPr>
          <w:rFonts w:hint="eastAsia"/>
          <w:sz w:val="28"/>
          <w:szCs w:val="28"/>
        </w:rPr>
        <w:t>（</w:t>
      </w:r>
      <w:r>
        <w:rPr>
          <w:rFonts w:hint="eastAsia" w:asciiTheme="minorEastAsia" w:hAnsiTheme="minorEastAsia" w:eastAsiaTheme="minorEastAsia" w:cstheme="minorEastAsia"/>
          <w:sz w:val="28"/>
          <w:szCs w:val="28"/>
        </w:rPr>
        <w:t>备选点</w:t>
      </w:r>
      <w:r>
        <w:rPr>
          <w:rFonts w:hint="eastAsia"/>
          <w:sz w:val="28"/>
          <w:szCs w:val="28"/>
        </w:rPr>
        <w:t>）</w:t>
      </w:r>
      <w:r>
        <w:rPr>
          <w:sz w:val="28"/>
          <w:szCs w:val="28"/>
        </w:rPr>
        <w:t>应按照绿色矿山标准建设</w:t>
      </w:r>
      <w:r>
        <w:rPr>
          <w:rFonts w:hint="eastAsia"/>
          <w:sz w:val="28"/>
          <w:szCs w:val="28"/>
        </w:rPr>
        <w:t>，保留</w:t>
      </w:r>
      <w:r>
        <w:rPr>
          <w:sz w:val="28"/>
          <w:szCs w:val="28"/>
        </w:rPr>
        <w:t>矿山</w:t>
      </w:r>
      <w:r>
        <w:rPr>
          <w:rFonts w:hint="eastAsia"/>
          <w:sz w:val="28"/>
          <w:szCs w:val="28"/>
        </w:rPr>
        <w:t>应</w:t>
      </w:r>
      <w:r>
        <w:rPr>
          <w:sz w:val="28"/>
          <w:szCs w:val="28"/>
        </w:rPr>
        <w:t>限期整改达到绿色矿山建设标准。（</w:t>
      </w:r>
      <w:r>
        <w:rPr>
          <w:rFonts w:hint="eastAsia"/>
          <w:sz w:val="28"/>
          <w:szCs w:val="28"/>
        </w:rPr>
        <w:t>11）砂石土矿产品质量及加工生产应符合建筑用卵石碎石、建筑用砂、机制砖加工生产等相关技术标准</w:t>
      </w:r>
      <w:r>
        <w:rPr>
          <w:sz w:val="28"/>
          <w:szCs w:val="28"/>
        </w:rPr>
        <w:t>。</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政府坚持宏观调控和市场配置相结合，对允许开采</w:t>
      </w:r>
      <w:r>
        <w:rPr>
          <w:rFonts w:asciiTheme="minorEastAsia" w:hAnsiTheme="minorEastAsia" w:eastAsiaTheme="minorEastAsia" w:cstheme="minorEastAsia"/>
          <w:sz w:val="28"/>
          <w:szCs w:val="28"/>
        </w:rPr>
        <w:t>区</w:t>
      </w:r>
      <w:r>
        <w:rPr>
          <w:rFonts w:hint="eastAsia" w:asciiTheme="minorEastAsia" w:hAnsiTheme="minorEastAsia" w:eastAsiaTheme="minorEastAsia" w:cstheme="minorEastAsia"/>
          <w:sz w:val="28"/>
          <w:szCs w:val="28"/>
        </w:rPr>
        <w:t>一律以“招、拍、挂”等市场竞争方式出让，基本建立了公平有序的矿业权市场。实施矿业权设置计划管理与规划审查制度，矿产资源勘查、开发利用、矿山环境保护与治理步入规划管理的轨道。</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采矿权投放原则：到2021年，砂石矿产采矿权总数控制在23个以内。严格控制采矿权数量，之后新增砂石采矿权必须采取“关一开一”的措施，逐个投放；投放前，市自然资源局部门应当会同有关部门进行红线边界实地核实，确保采矿权不落在保护区红线范围内，且必须在</w:t>
      </w:r>
      <w:r>
        <w:rPr>
          <w:rFonts w:hint="eastAsia"/>
          <w:sz w:val="28"/>
          <w:szCs w:val="28"/>
        </w:rPr>
        <w:t>允许开采</w:t>
      </w:r>
      <w:r>
        <w:rPr>
          <w:sz w:val="28"/>
          <w:szCs w:val="28"/>
        </w:rPr>
        <w:t>区</w:t>
      </w:r>
      <w:r>
        <w:rPr>
          <w:rFonts w:hint="eastAsia"/>
          <w:sz w:val="28"/>
          <w:szCs w:val="28"/>
        </w:rPr>
        <w:t>名单，</w:t>
      </w:r>
      <w:r>
        <w:rPr>
          <w:rFonts w:hint="eastAsia" w:asciiTheme="minorEastAsia" w:hAnsiTheme="minorEastAsia" w:eastAsiaTheme="minorEastAsia" w:cstheme="minorEastAsia"/>
          <w:sz w:val="28"/>
          <w:szCs w:val="28"/>
        </w:rPr>
        <w:t>以确保不突破确定的采矿权控制总数。</w:t>
      </w:r>
    </w:p>
    <w:p>
      <w:pPr>
        <w:pStyle w:val="5"/>
        <w:ind w:firstLine="562" w:firstLineChars="200"/>
        <w:rPr>
          <w:rFonts w:hint="default" w:asciiTheme="minorEastAsia" w:hAnsiTheme="minorEastAsia" w:eastAsiaTheme="minorEastAsia" w:cstheme="minorEastAsia"/>
          <w:sz w:val="28"/>
          <w:szCs w:val="28"/>
        </w:rPr>
      </w:pPr>
      <w:bookmarkStart w:id="16" w:name="_Toc4341"/>
      <w:r>
        <w:rPr>
          <w:rFonts w:asciiTheme="minorEastAsia" w:hAnsiTheme="minorEastAsia" w:eastAsiaTheme="minorEastAsia" w:cstheme="minorEastAsia"/>
          <w:sz w:val="28"/>
          <w:szCs w:val="28"/>
        </w:rPr>
        <w:t>(四)新设和单独保留采矿权设置</w:t>
      </w:r>
      <w:bookmarkEnd w:id="16"/>
    </w:p>
    <w:p>
      <w:pPr>
        <w:ind w:firstLine="562" w:firstLineChars="200"/>
        <w:rPr>
          <w:b/>
          <w:bCs/>
          <w:sz w:val="28"/>
          <w:szCs w:val="28"/>
        </w:rPr>
      </w:pPr>
      <w:r>
        <w:rPr>
          <w:rFonts w:hint="eastAsia" w:asciiTheme="minorEastAsia" w:hAnsiTheme="minorEastAsia" w:eastAsiaTheme="minorEastAsia" w:cstheme="minorEastAsia"/>
          <w:b/>
          <w:bCs/>
          <w:sz w:val="28"/>
          <w:szCs w:val="28"/>
        </w:rPr>
        <w:t>1、空白区</w:t>
      </w:r>
      <w:r>
        <w:rPr>
          <w:rFonts w:hint="eastAsia"/>
          <w:b/>
          <w:bCs/>
          <w:sz w:val="28"/>
          <w:szCs w:val="28"/>
        </w:rPr>
        <w:t>新设</w:t>
      </w:r>
    </w:p>
    <w:p>
      <w:pPr>
        <w:spacing w:line="360" w:lineRule="auto"/>
        <w:ind w:firstLine="560" w:firstLineChars="200"/>
        <w:rPr>
          <w:sz w:val="28"/>
          <w:szCs w:val="28"/>
        </w:rPr>
      </w:pPr>
      <w:r>
        <w:rPr>
          <w:rFonts w:hint="eastAsia"/>
          <w:sz w:val="28"/>
          <w:szCs w:val="28"/>
        </w:rPr>
        <w:t>本次规划无空白区新设区块（采矿权）设置。</w:t>
      </w:r>
    </w:p>
    <w:p>
      <w:pPr>
        <w:ind w:firstLine="562" w:firstLineChars="200"/>
        <w:rPr>
          <w:b/>
          <w:bCs/>
          <w:sz w:val="28"/>
          <w:szCs w:val="28"/>
        </w:rPr>
      </w:pPr>
      <w:r>
        <w:rPr>
          <w:rFonts w:hint="eastAsia"/>
          <w:b/>
          <w:bCs/>
          <w:sz w:val="28"/>
          <w:szCs w:val="28"/>
        </w:rPr>
        <w:t>2</w:t>
      </w:r>
      <w:r>
        <w:rPr>
          <w:rFonts w:hint="eastAsia" w:asciiTheme="minorEastAsia" w:hAnsiTheme="minorEastAsia" w:eastAsiaTheme="minorEastAsia" w:cstheme="minorEastAsia"/>
          <w:b/>
          <w:bCs/>
          <w:sz w:val="28"/>
          <w:szCs w:val="28"/>
        </w:rPr>
        <w:t>、已设采矿权保留</w:t>
      </w:r>
    </w:p>
    <w:p>
      <w:pPr>
        <w:ind w:firstLine="560" w:firstLineChars="200"/>
        <w:rPr>
          <w:sz w:val="28"/>
          <w:szCs w:val="28"/>
        </w:rPr>
      </w:pPr>
      <w:r>
        <w:rPr>
          <w:rFonts w:hint="eastAsia"/>
          <w:sz w:val="28"/>
          <w:szCs w:val="28"/>
        </w:rPr>
        <w:t>单独保留采矿权应符合以下要求：</w:t>
      </w:r>
    </w:p>
    <w:p>
      <w:pPr>
        <w:adjustRightInd w:val="0"/>
        <w:snapToGrid w:val="0"/>
        <w:spacing w:line="560" w:lineRule="exact"/>
        <w:ind w:firstLine="560" w:firstLineChars="200"/>
        <w:rPr>
          <w:sz w:val="28"/>
          <w:szCs w:val="28"/>
        </w:rPr>
      </w:pPr>
      <w:r>
        <w:rPr>
          <w:rFonts w:hint="eastAsia"/>
          <w:sz w:val="28"/>
          <w:szCs w:val="28"/>
        </w:rPr>
        <w:t>对保有资源储量100万吨以上；年生产规模30万吨以上；根据湘江流域一级支流舂陵水限制开采区内，已有采矿权不再扩界；取得环保许可；取得安全生产许可；不存在违法违规开采行为或违法违规开采行为已查处整改到位的矿山予以单独保留。</w:t>
      </w:r>
    </w:p>
    <w:p>
      <w:pPr>
        <w:adjustRightInd w:val="0"/>
        <w:snapToGrid w:val="0"/>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规划单独保留采矿权2个，见专栏六。</w:t>
      </w:r>
    </w:p>
    <w:p>
      <w:pPr>
        <w:pStyle w:val="15"/>
        <w:widowControl/>
        <w:spacing w:before="150" w:beforeAutospacing="0" w:afterAutospacing="0" w:line="360" w:lineRule="auto"/>
        <w:jc w:val="both"/>
        <w:rPr>
          <w:rStyle w:val="20"/>
          <w:rFonts w:ascii="Arial" w:hAnsi="Arial" w:cs="Arial"/>
        </w:rPr>
      </w:pPr>
      <w:r>
        <w:rPr>
          <w:rStyle w:val="20"/>
          <w:rFonts w:hint="eastAsia" w:ascii="Arial" w:hAnsi="Arial" w:cs="Arial"/>
        </w:rPr>
        <w:t>专栏六             耒阳市单独保留采矿权区块一览表</w:t>
      </w:r>
    </w:p>
    <w:tbl>
      <w:tblPr>
        <w:tblStyle w:val="17"/>
        <w:tblW w:w="5749" w:type="pct"/>
        <w:jc w:val="center"/>
        <w:tblLayout w:type="fixed"/>
        <w:tblCellMar>
          <w:top w:w="0" w:type="dxa"/>
          <w:left w:w="108" w:type="dxa"/>
          <w:bottom w:w="0" w:type="dxa"/>
          <w:right w:w="108" w:type="dxa"/>
        </w:tblCellMar>
      </w:tblPr>
      <w:tblGrid>
        <w:gridCol w:w="640"/>
        <w:gridCol w:w="750"/>
        <w:gridCol w:w="1412"/>
        <w:gridCol w:w="937"/>
        <w:gridCol w:w="1482"/>
        <w:gridCol w:w="1154"/>
        <w:gridCol w:w="1170"/>
        <w:gridCol w:w="1127"/>
        <w:gridCol w:w="1127"/>
      </w:tblGrid>
      <w:tr>
        <w:tblPrEx>
          <w:tblCellMar>
            <w:top w:w="0" w:type="dxa"/>
            <w:left w:w="108" w:type="dxa"/>
            <w:bottom w:w="0" w:type="dxa"/>
            <w:right w:w="108" w:type="dxa"/>
          </w:tblCellMar>
        </w:tblPrEx>
        <w:trPr>
          <w:trHeight w:val="722" w:hRule="atLeast"/>
          <w:jc w:val="center"/>
        </w:trPr>
        <w:tc>
          <w:tcPr>
            <w:tcW w:w="327" w:type="pct"/>
            <w:tcBorders>
              <w:top w:val="single" w:color="auto" w:sz="4" w:space="0"/>
              <w:left w:val="single" w:color="auto" w:sz="4" w:space="0"/>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ascii="Arial" w:hAnsi="Arial" w:cs="Arial"/>
                <w:b/>
                <w:bCs/>
                <w:sz w:val="24"/>
              </w:rPr>
              <w:t>序号</w:t>
            </w:r>
          </w:p>
        </w:tc>
        <w:tc>
          <w:tcPr>
            <w:tcW w:w="383" w:type="pct"/>
            <w:tcBorders>
              <w:top w:val="single" w:color="auto" w:sz="4" w:space="0"/>
              <w:left w:val="nil"/>
              <w:bottom w:val="single" w:color="auto" w:sz="4" w:space="0"/>
              <w:right w:val="single" w:color="auto" w:sz="4" w:space="0"/>
            </w:tcBorders>
            <w:vAlign w:val="center"/>
          </w:tcPr>
          <w:p>
            <w:pPr>
              <w:pStyle w:val="15"/>
              <w:widowControl/>
              <w:spacing w:beforeAutospacing="0" w:afterAutospacing="0"/>
              <w:ind w:left="-174" w:right="-233"/>
              <w:jc w:val="center"/>
              <w:rPr>
                <w:rFonts w:ascii="仿宋_GB2312" w:hAnsi="宋体" w:eastAsia="仿宋_GB2312" w:cs="宋体"/>
                <w:b/>
                <w:bCs/>
              </w:rPr>
            </w:pPr>
            <w:r>
              <w:rPr>
                <w:rFonts w:ascii="仿宋_GB2312" w:hAnsi="宋体" w:eastAsia="仿宋_GB2312" w:cs="宋体"/>
                <w:b/>
                <w:bCs/>
              </w:rPr>
              <w:t>图面</w:t>
            </w:r>
          </w:p>
          <w:p>
            <w:pPr>
              <w:widowControl/>
              <w:jc w:val="center"/>
              <w:rPr>
                <w:rFonts w:ascii="仿宋_GB2312" w:hAnsi="宋体" w:eastAsia="仿宋_GB2312" w:cs="宋体"/>
                <w:b/>
                <w:bCs/>
                <w:kern w:val="0"/>
                <w:sz w:val="24"/>
              </w:rPr>
            </w:pPr>
            <w:r>
              <w:rPr>
                <w:rFonts w:ascii="仿宋_GB2312" w:hAnsi="宋体" w:eastAsia="仿宋_GB2312" w:cs="宋体"/>
                <w:b/>
                <w:bCs/>
                <w:kern w:val="0"/>
                <w:sz w:val="24"/>
              </w:rPr>
              <w:t>编号</w:t>
            </w:r>
          </w:p>
        </w:tc>
        <w:tc>
          <w:tcPr>
            <w:tcW w:w="720" w:type="pct"/>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单独保留</w:t>
            </w:r>
          </w:p>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矿山名称</w:t>
            </w:r>
          </w:p>
        </w:tc>
        <w:tc>
          <w:tcPr>
            <w:tcW w:w="478" w:type="pct"/>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矿种</w:t>
            </w:r>
          </w:p>
        </w:tc>
        <w:tc>
          <w:tcPr>
            <w:tcW w:w="755" w:type="pct"/>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采矿许可证号</w:t>
            </w:r>
          </w:p>
        </w:tc>
        <w:tc>
          <w:tcPr>
            <w:tcW w:w="588" w:type="pct"/>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有效期截止日期</w:t>
            </w:r>
          </w:p>
        </w:tc>
        <w:tc>
          <w:tcPr>
            <w:tcW w:w="596" w:type="pct"/>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矿区</w:t>
            </w:r>
          </w:p>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面积</w:t>
            </w:r>
          </w:p>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（Km</w:t>
            </w:r>
            <w:r>
              <w:rPr>
                <w:rFonts w:hint="eastAsia" w:ascii="仿宋_GB2312" w:hAnsi="宋体" w:eastAsia="仿宋_GB2312" w:cs="宋体"/>
                <w:b/>
                <w:bCs/>
                <w:kern w:val="0"/>
                <w:sz w:val="24"/>
                <w:vertAlign w:val="superscript"/>
              </w:rPr>
              <w:t>2</w:t>
            </w:r>
            <w:r>
              <w:rPr>
                <w:rFonts w:hint="eastAsia" w:ascii="仿宋_GB2312" w:hAnsi="宋体" w:eastAsia="仿宋_GB2312" w:cs="宋体"/>
                <w:b/>
                <w:bCs/>
                <w:kern w:val="0"/>
                <w:sz w:val="24"/>
              </w:rPr>
              <w:t>）</w:t>
            </w:r>
          </w:p>
        </w:tc>
        <w:tc>
          <w:tcPr>
            <w:tcW w:w="574" w:type="pct"/>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保有</w:t>
            </w:r>
          </w:p>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资源储量</w:t>
            </w:r>
          </w:p>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（万吨）</w:t>
            </w:r>
          </w:p>
        </w:tc>
        <w:tc>
          <w:tcPr>
            <w:tcW w:w="574" w:type="pct"/>
            <w:tcBorders>
              <w:top w:val="single" w:color="auto" w:sz="4" w:space="0"/>
              <w:left w:val="nil"/>
              <w:bottom w:val="single" w:color="auto" w:sz="4" w:space="0"/>
              <w:right w:val="single" w:color="auto" w:sz="4" w:space="0"/>
            </w:tcBorders>
            <w:vAlign w:val="center"/>
          </w:tcPr>
          <w:p>
            <w:pPr>
              <w:widowControl/>
              <w:jc w:val="center"/>
              <w:rPr>
                <w:rFonts w:ascii="仿宋_GB2312" w:hAnsi="宋体" w:eastAsia="仿宋_GB2312" w:cs="宋体"/>
                <w:b/>
                <w:bCs/>
                <w:kern w:val="0"/>
                <w:sz w:val="24"/>
              </w:rPr>
            </w:pPr>
            <w:r>
              <w:rPr>
                <w:rFonts w:hint="eastAsia" w:ascii="仿宋_GB2312" w:hAnsi="宋体" w:eastAsia="仿宋_GB2312" w:cs="宋体"/>
                <w:b/>
                <w:bCs/>
                <w:kern w:val="0"/>
                <w:sz w:val="24"/>
              </w:rPr>
              <w:t>生产规模</w:t>
            </w:r>
          </w:p>
          <w:p>
            <w:pPr>
              <w:widowControl/>
              <w:jc w:val="center"/>
              <w:rPr>
                <w:rFonts w:ascii="仿宋_GB2312" w:hAnsi="宋体" w:eastAsia="仿宋_GB2312" w:cs="宋体"/>
                <w:b/>
                <w:bCs/>
                <w:kern w:val="0"/>
                <w:szCs w:val="21"/>
              </w:rPr>
            </w:pPr>
            <w:r>
              <w:rPr>
                <w:rFonts w:hint="eastAsia" w:ascii="仿宋_GB2312" w:hAnsi="宋体" w:eastAsia="仿宋_GB2312" w:cs="宋体"/>
                <w:b/>
                <w:bCs/>
                <w:kern w:val="0"/>
                <w:szCs w:val="21"/>
              </w:rPr>
              <w:t>（万吨/年）</w:t>
            </w:r>
          </w:p>
        </w:tc>
      </w:tr>
      <w:tr>
        <w:tblPrEx>
          <w:tblCellMar>
            <w:top w:w="0" w:type="dxa"/>
            <w:left w:w="108" w:type="dxa"/>
            <w:bottom w:w="0" w:type="dxa"/>
            <w:right w:w="108" w:type="dxa"/>
          </w:tblCellMar>
        </w:tblPrEx>
        <w:trPr>
          <w:trHeight w:val="957" w:hRule="atLeast"/>
          <w:jc w:val="center"/>
        </w:trPr>
        <w:tc>
          <w:tcPr>
            <w:tcW w:w="327" w:type="pct"/>
            <w:tcBorders>
              <w:top w:val="nil"/>
              <w:left w:val="single" w:color="auto" w:sz="4" w:space="0"/>
              <w:bottom w:val="nil"/>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kern w:val="0"/>
                <w:szCs w:val="21"/>
              </w:rPr>
              <w:t>1</w:t>
            </w:r>
          </w:p>
        </w:tc>
        <w:tc>
          <w:tcPr>
            <w:tcW w:w="383" w:type="pct"/>
            <w:tcBorders>
              <w:top w:val="nil"/>
              <w:left w:val="nil"/>
              <w:bottom w:val="nil"/>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kern w:val="0"/>
                <w:szCs w:val="21"/>
              </w:rPr>
              <w:t>CQ012</w:t>
            </w:r>
          </w:p>
        </w:tc>
        <w:tc>
          <w:tcPr>
            <w:tcW w:w="720" w:type="pct"/>
            <w:tcBorders>
              <w:top w:val="nil"/>
              <w:left w:val="nil"/>
              <w:bottom w:val="nil"/>
              <w:right w:val="single" w:color="auto" w:sz="4" w:space="0"/>
            </w:tcBorders>
            <w:vAlign w:val="center"/>
          </w:tcPr>
          <w:p>
            <w:pPr>
              <w:widowControl/>
              <w:jc w:val="center"/>
              <w:textAlignment w:val="center"/>
              <w:rPr>
                <w:rFonts w:ascii="宋体" w:hAnsi="宋体" w:cs="宋体"/>
                <w:kern w:val="0"/>
                <w:szCs w:val="21"/>
              </w:rPr>
            </w:pPr>
            <w:r>
              <w:rPr>
                <w:rFonts w:hint="eastAsia" w:ascii="黑体" w:hAnsi="宋体" w:eastAsia="黑体" w:cs="黑体"/>
                <w:sz w:val="20"/>
                <w:szCs w:val="20"/>
              </w:rPr>
              <w:t>北诚一矿</w:t>
            </w:r>
          </w:p>
        </w:tc>
        <w:tc>
          <w:tcPr>
            <w:tcW w:w="478" w:type="pct"/>
            <w:tcBorders>
              <w:top w:val="nil"/>
              <w:left w:val="nil"/>
              <w:bottom w:val="nil"/>
              <w:right w:val="single" w:color="auto" w:sz="4" w:space="0"/>
            </w:tcBorders>
            <w:vAlign w:val="center"/>
          </w:tcPr>
          <w:p>
            <w:pPr>
              <w:widowControl/>
              <w:jc w:val="center"/>
              <w:textAlignment w:val="center"/>
              <w:rPr>
                <w:rFonts w:ascii="宋体" w:hAnsi="宋体" w:cs="宋体"/>
                <w:kern w:val="0"/>
                <w:szCs w:val="21"/>
              </w:rPr>
            </w:pPr>
            <w:r>
              <w:rPr>
                <w:rFonts w:hint="eastAsia" w:ascii="黑体" w:hAnsi="宋体" w:eastAsia="黑体" w:cs="黑体"/>
                <w:sz w:val="20"/>
                <w:szCs w:val="20"/>
              </w:rPr>
              <w:t>建筑用白云岩</w:t>
            </w:r>
          </w:p>
        </w:tc>
        <w:tc>
          <w:tcPr>
            <w:tcW w:w="755" w:type="pct"/>
            <w:tcBorders>
              <w:top w:val="nil"/>
              <w:left w:val="nil"/>
              <w:bottom w:val="nil"/>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kern w:val="0"/>
                <w:szCs w:val="21"/>
              </w:rPr>
              <w:t>C4304812018097100146821</w:t>
            </w:r>
          </w:p>
        </w:tc>
        <w:tc>
          <w:tcPr>
            <w:tcW w:w="588" w:type="pct"/>
            <w:tcBorders>
              <w:top w:val="nil"/>
              <w:left w:val="nil"/>
              <w:bottom w:val="nil"/>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2023/09/28</w:t>
            </w:r>
          </w:p>
        </w:tc>
        <w:tc>
          <w:tcPr>
            <w:tcW w:w="596" w:type="pct"/>
            <w:tcBorders>
              <w:top w:val="nil"/>
              <w:left w:val="nil"/>
              <w:bottom w:val="nil"/>
              <w:right w:val="single" w:color="auto" w:sz="4" w:space="0"/>
            </w:tcBorders>
            <w:vAlign w:val="center"/>
          </w:tcPr>
          <w:p>
            <w:pPr>
              <w:pStyle w:val="15"/>
              <w:widowControl/>
              <w:jc w:val="center"/>
              <w:rPr>
                <w:rFonts w:ascii="宋体" w:hAnsi="宋体" w:cs="宋体"/>
                <w:sz w:val="21"/>
                <w:szCs w:val="21"/>
              </w:rPr>
            </w:pPr>
            <w:r>
              <w:rPr>
                <w:rFonts w:hint="eastAsia" w:ascii="黑体" w:hAnsi="宋体" w:eastAsia="黑体" w:cs="黑体"/>
                <w:sz w:val="20"/>
                <w:szCs w:val="20"/>
              </w:rPr>
              <w:t>0.08</w:t>
            </w:r>
          </w:p>
        </w:tc>
        <w:tc>
          <w:tcPr>
            <w:tcW w:w="574" w:type="pct"/>
            <w:tcBorders>
              <w:top w:val="nil"/>
              <w:left w:val="nil"/>
              <w:bottom w:val="nil"/>
              <w:right w:val="single" w:color="auto" w:sz="4" w:space="0"/>
            </w:tcBorders>
            <w:vAlign w:val="center"/>
          </w:tcPr>
          <w:p>
            <w:pPr>
              <w:pStyle w:val="15"/>
              <w:widowControl/>
              <w:jc w:val="center"/>
              <w:rPr>
                <w:rFonts w:ascii="仿宋_GB2312" w:eastAsia="仿宋_GB2312"/>
              </w:rPr>
            </w:pPr>
            <w:r>
              <w:rPr>
                <w:rFonts w:hint="eastAsia" w:ascii="黑体" w:hAnsi="宋体" w:eastAsia="黑体" w:cs="黑体"/>
                <w:sz w:val="20"/>
                <w:szCs w:val="20"/>
              </w:rPr>
              <w:t>567.4</w:t>
            </w:r>
          </w:p>
        </w:tc>
        <w:tc>
          <w:tcPr>
            <w:tcW w:w="574" w:type="pct"/>
            <w:tcBorders>
              <w:top w:val="nil"/>
              <w:left w:val="nil"/>
              <w:bottom w:val="nil"/>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60</w:t>
            </w:r>
          </w:p>
        </w:tc>
      </w:tr>
      <w:tr>
        <w:tblPrEx>
          <w:tblCellMar>
            <w:top w:w="0" w:type="dxa"/>
            <w:left w:w="108" w:type="dxa"/>
            <w:bottom w:w="0" w:type="dxa"/>
            <w:right w:w="108" w:type="dxa"/>
          </w:tblCellMar>
        </w:tblPrEx>
        <w:trPr>
          <w:trHeight w:val="957" w:hRule="atLeast"/>
          <w:jc w:val="center"/>
        </w:trPr>
        <w:tc>
          <w:tcPr>
            <w:tcW w:w="327" w:type="pct"/>
            <w:tcBorders>
              <w:top w:val="nil"/>
              <w:left w:val="single" w:color="auto" w:sz="4" w:space="0"/>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kern w:val="0"/>
                <w:szCs w:val="21"/>
              </w:rPr>
              <w:t>2</w:t>
            </w:r>
          </w:p>
        </w:tc>
        <w:tc>
          <w:tcPr>
            <w:tcW w:w="383" w:type="pct"/>
            <w:tcBorders>
              <w:top w:val="nil"/>
              <w:left w:val="nil"/>
              <w:bottom w:val="single" w:color="auto" w:sz="4" w:space="0"/>
              <w:right w:val="single" w:color="auto" w:sz="4" w:space="0"/>
            </w:tcBorders>
            <w:vAlign w:val="center"/>
          </w:tcPr>
          <w:p>
            <w:pPr>
              <w:widowControl/>
              <w:jc w:val="center"/>
              <w:textAlignment w:val="center"/>
              <w:rPr>
                <w:rFonts w:ascii="宋体" w:hAnsi="宋体" w:cs="宋体"/>
                <w:kern w:val="0"/>
                <w:szCs w:val="21"/>
              </w:rPr>
            </w:pPr>
            <w:r>
              <w:rPr>
                <w:rFonts w:hint="eastAsia" w:ascii="宋体" w:hAnsi="宋体" w:cs="宋体"/>
                <w:kern w:val="0"/>
                <w:szCs w:val="21"/>
              </w:rPr>
              <w:t>CQ023</w:t>
            </w:r>
          </w:p>
        </w:tc>
        <w:tc>
          <w:tcPr>
            <w:tcW w:w="720"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耒阳市金顺石材有限公司马水货塘六组石灰岩矿</w:t>
            </w:r>
          </w:p>
        </w:tc>
        <w:tc>
          <w:tcPr>
            <w:tcW w:w="47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建筑用白云岩(地下开采)</w:t>
            </w:r>
          </w:p>
        </w:tc>
        <w:tc>
          <w:tcPr>
            <w:tcW w:w="755"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C4304812015097130139780</w:t>
            </w:r>
          </w:p>
        </w:tc>
        <w:tc>
          <w:tcPr>
            <w:tcW w:w="58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2020/09/12</w:t>
            </w:r>
          </w:p>
        </w:tc>
        <w:tc>
          <w:tcPr>
            <w:tcW w:w="596"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0.0302</w:t>
            </w:r>
          </w:p>
        </w:tc>
        <w:tc>
          <w:tcPr>
            <w:tcW w:w="574"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157</w:t>
            </w:r>
          </w:p>
        </w:tc>
        <w:tc>
          <w:tcPr>
            <w:tcW w:w="574"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30</w:t>
            </w:r>
          </w:p>
        </w:tc>
      </w:tr>
    </w:tbl>
    <w:p>
      <w:pPr>
        <w:adjustRightInd w:val="0"/>
        <w:snapToGrid w:val="0"/>
        <w:spacing w:line="560" w:lineRule="exact"/>
        <w:ind w:firstLine="560" w:firstLineChars="200"/>
        <w:rPr>
          <w:rFonts w:asciiTheme="minorEastAsia" w:hAnsiTheme="minorEastAsia" w:eastAsiaTheme="minorEastAsia" w:cstheme="minorEastAsia"/>
          <w:sz w:val="28"/>
          <w:szCs w:val="28"/>
        </w:rPr>
      </w:pPr>
    </w:p>
    <w:p>
      <w:pPr>
        <w:adjustRightInd w:val="0"/>
        <w:snapToGrid w:val="0"/>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保留区块基本情况如下：</w:t>
      </w:r>
    </w:p>
    <w:p>
      <w:pPr>
        <w:topLinePunct/>
        <w:spacing w:line="360" w:lineRule="auto"/>
        <w:ind w:firstLine="560" w:firstLineChars="200"/>
        <w:rPr>
          <w:sz w:val="28"/>
          <w:szCs w:val="28"/>
        </w:rPr>
      </w:pPr>
      <w:r>
        <w:rPr>
          <w:rFonts w:hint="eastAsia" w:ascii="宋体" w:hAnsi="宋体" w:cs="宋体"/>
          <w:sz w:val="28"/>
          <w:szCs w:val="28"/>
        </w:rPr>
        <w:t>(1)北诚一矿(</w:t>
      </w:r>
      <w:r>
        <w:rPr>
          <w:rFonts w:hint="eastAsia" w:asciiTheme="minorEastAsia" w:hAnsiTheme="minorEastAsia" w:eastAsiaTheme="minorEastAsia" w:cstheme="minorEastAsia"/>
          <w:sz w:val="28"/>
          <w:szCs w:val="28"/>
        </w:rPr>
        <w:t>CQ012</w:t>
      </w:r>
      <w:r>
        <w:rPr>
          <w:rFonts w:hint="eastAsia"/>
          <w:sz w:val="28"/>
          <w:szCs w:val="28"/>
        </w:rPr>
        <w:t>)。位于仁义镇党田村，矿区正在筹建，开采矿种为建筑用白云岩矿，经实地核查矿体赋存于石炭系中上统壶天群上部。区块范围由8个拐点圈定，面积</w:t>
      </w:r>
      <w:r>
        <w:rPr>
          <w:rFonts w:hint="eastAsia"/>
          <w:sz w:val="28"/>
          <w:szCs w:val="28"/>
          <w:lang w:val="zh-CN"/>
        </w:rPr>
        <w:t>0.0</w:t>
      </w:r>
      <w:r>
        <w:rPr>
          <w:rFonts w:hint="eastAsia"/>
          <w:sz w:val="28"/>
          <w:szCs w:val="28"/>
        </w:rPr>
        <w:t>8平方千米，设计生产能力30万吨/年，本次调整设计生产规模为60万吨/年，截至2018年底矿山保有资源储量567.4万吨，满足单独保留条件。区内有村道与县道X029相连，县道X029公路与</w:t>
      </w:r>
      <w:r>
        <w:rPr>
          <w:rFonts w:hint="eastAsia"/>
          <w:sz w:val="28"/>
          <w:szCs w:val="28"/>
          <w:lang w:eastAsia="zh-CN"/>
        </w:rPr>
        <w:t>国道</w:t>
      </w:r>
      <w:r>
        <w:rPr>
          <w:rFonts w:hint="eastAsia"/>
          <w:sz w:val="28"/>
          <w:szCs w:val="28"/>
          <w:lang w:val="en-US" w:eastAsia="zh-CN"/>
        </w:rPr>
        <w:t>G</w:t>
      </w:r>
      <w:r>
        <w:rPr>
          <w:rFonts w:hint="eastAsia"/>
          <w:sz w:val="28"/>
          <w:szCs w:val="28"/>
        </w:rPr>
        <w:t>356相连，交通方便。区块与国道、居民区、</w:t>
      </w:r>
      <w:r>
        <w:rPr>
          <w:rFonts w:hint="eastAsia" w:asciiTheme="minorEastAsia" w:hAnsiTheme="minorEastAsia" w:eastAsiaTheme="minorEastAsia" w:cstheme="minorEastAsia"/>
          <w:sz w:val="28"/>
          <w:szCs w:val="28"/>
        </w:rPr>
        <w:t>重要构筑物</w:t>
      </w:r>
      <w:r>
        <w:rPr>
          <w:rFonts w:hint="eastAsia"/>
          <w:sz w:val="28"/>
          <w:szCs w:val="28"/>
        </w:rPr>
        <w:t>相距300米以上，区块内拟设矿山能实现平移式开发。区块与生态保护红线、基本农田保护区平面不重叠。区块范围与国家二级公益林完全重叠，建议在调出公益林后再出让。</w:t>
      </w:r>
    </w:p>
    <w:p>
      <w:pPr>
        <w:topLinePunct/>
        <w:spacing w:line="360" w:lineRule="auto"/>
        <w:ind w:firstLine="560" w:firstLineChars="200"/>
        <w:rPr>
          <w:sz w:val="28"/>
          <w:szCs w:val="28"/>
        </w:rPr>
      </w:pPr>
      <w:r>
        <w:rPr>
          <w:rFonts w:hint="eastAsia"/>
          <w:sz w:val="28"/>
          <w:szCs w:val="28"/>
        </w:rPr>
        <w:t xml:space="preserve">(2)耒阳市金顺石材有限公司马水货塘六组石灰岩矿 </w:t>
      </w:r>
      <w:r>
        <w:rPr>
          <w:rFonts w:hint="eastAsia" w:ascii="宋体" w:hAnsi="宋体" w:cs="宋体"/>
          <w:sz w:val="28"/>
          <w:szCs w:val="28"/>
        </w:rPr>
        <w:t>(</w:t>
      </w:r>
      <w:r>
        <w:rPr>
          <w:rFonts w:hint="eastAsia" w:asciiTheme="minorEastAsia" w:hAnsiTheme="minorEastAsia" w:eastAsiaTheme="minorEastAsia" w:cstheme="minorEastAsia"/>
          <w:sz w:val="28"/>
          <w:szCs w:val="28"/>
        </w:rPr>
        <w:t>CQ023</w:t>
      </w:r>
      <w:r>
        <w:rPr>
          <w:rFonts w:hint="eastAsia"/>
          <w:sz w:val="28"/>
          <w:szCs w:val="28"/>
        </w:rPr>
        <w:t>)。位于马水镇货塘村，开采矿种为建筑石料用灰岩，矿体赋存于泥盆系中统棋子桥组。区块范围由4个拐点圈定，矿区面积</w:t>
      </w:r>
      <w:r>
        <w:rPr>
          <w:rFonts w:hint="eastAsia"/>
          <w:sz w:val="28"/>
          <w:szCs w:val="28"/>
          <w:lang w:val="zh-CN"/>
        </w:rPr>
        <w:t>0.</w:t>
      </w:r>
      <w:r>
        <w:rPr>
          <w:rFonts w:hint="eastAsia"/>
          <w:sz w:val="28"/>
          <w:szCs w:val="28"/>
        </w:rPr>
        <w:t>0302km</w:t>
      </w:r>
      <w:r>
        <w:rPr>
          <w:rFonts w:hint="eastAsia"/>
          <w:sz w:val="28"/>
          <w:szCs w:val="28"/>
          <w:vertAlign w:val="superscript"/>
        </w:rPr>
        <w:t>2</w:t>
      </w:r>
      <w:r>
        <w:rPr>
          <w:rFonts w:hint="eastAsia"/>
          <w:sz w:val="28"/>
          <w:szCs w:val="28"/>
        </w:rPr>
        <w:t>，设计</w:t>
      </w:r>
      <w:r>
        <w:rPr>
          <w:rFonts w:hint="eastAsia" w:asciiTheme="minorEastAsia" w:hAnsiTheme="minorEastAsia" w:eastAsiaTheme="minorEastAsia" w:cstheme="minorEastAsia"/>
          <w:sz w:val="28"/>
          <w:szCs w:val="28"/>
        </w:rPr>
        <w:t>生产规模为10万吨/年,</w:t>
      </w:r>
      <w:r>
        <w:rPr>
          <w:rFonts w:hint="eastAsia"/>
          <w:sz w:val="28"/>
          <w:szCs w:val="28"/>
        </w:rPr>
        <w:t>截至2018年底保有资源储量157万吨，满足单独保留条件。矿区与国道、</w:t>
      </w:r>
      <w:r>
        <w:rPr>
          <w:rFonts w:hint="eastAsia" w:asciiTheme="minorEastAsia" w:hAnsiTheme="minorEastAsia" w:eastAsiaTheme="minorEastAsia" w:cstheme="minorEastAsia"/>
          <w:sz w:val="28"/>
          <w:szCs w:val="28"/>
        </w:rPr>
        <w:t>重要构筑物</w:t>
      </w:r>
      <w:r>
        <w:rPr>
          <w:rFonts w:hint="eastAsia"/>
          <w:sz w:val="28"/>
          <w:szCs w:val="28"/>
        </w:rPr>
        <w:t>相距300米以上。矿区与生态保护红线、基本农田保护区平面不重叠。</w:t>
      </w:r>
    </w:p>
    <w:p>
      <w:pPr>
        <w:pStyle w:val="5"/>
        <w:numPr>
          <w:ilvl w:val="0"/>
          <w:numId w:val="2"/>
        </w:numPr>
        <w:ind w:firstLine="562" w:firstLineChars="200"/>
        <w:rPr>
          <w:rFonts w:hint="default" w:asciiTheme="minorEastAsia" w:hAnsiTheme="minorEastAsia" w:eastAsiaTheme="minorEastAsia" w:cstheme="minorEastAsia"/>
          <w:sz w:val="28"/>
          <w:szCs w:val="28"/>
        </w:rPr>
      </w:pPr>
      <w:bookmarkStart w:id="17" w:name="_Toc15336"/>
      <w:r>
        <w:rPr>
          <w:rFonts w:asciiTheme="minorEastAsia" w:hAnsiTheme="minorEastAsia" w:eastAsiaTheme="minorEastAsia" w:cstheme="minorEastAsia"/>
          <w:sz w:val="28"/>
          <w:szCs w:val="28"/>
        </w:rPr>
        <w:t>整合和扩界矿山设置</w:t>
      </w:r>
      <w:bookmarkEnd w:id="17"/>
    </w:p>
    <w:p>
      <w:pPr>
        <w:ind w:firstLine="562" w:firstLineChars="200"/>
        <w:rPr>
          <w:b/>
          <w:bCs/>
          <w:sz w:val="28"/>
          <w:szCs w:val="28"/>
        </w:rPr>
      </w:pPr>
      <w:r>
        <w:rPr>
          <w:rFonts w:hint="eastAsia" w:asciiTheme="minorEastAsia" w:hAnsiTheme="minorEastAsia" w:eastAsiaTheme="minorEastAsia" w:cstheme="minorEastAsia"/>
          <w:b/>
          <w:bCs/>
          <w:sz w:val="28"/>
          <w:szCs w:val="28"/>
        </w:rPr>
        <w:t>1、</w:t>
      </w:r>
      <w:r>
        <w:rPr>
          <w:rFonts w:hint="eastAsia"/>
          <w:b/>
          <w:bCs/>
          <w:sz w:val="28"/>
          <w:szCs w:val="28"/>
        </w:rPr>
        <w:t>已设采矿权整合</w:t>
      </w:r>
    </w:p>
    <w:p>
      <w:pPr>
        <w:ind w:firstLine="560" w:firstLineChars="200"/>
        <w:rPr>
          <w:sz w:val="28"/>
          <w:szCs w:val="28"/>
        </w:rPr>
      </w:pPr>
      <w:r>
        <w:rPr>
          <w:rFonts w:hint="eastAsia"/>
          <w:sz w:val="28"/>
          <w:szCs w:val="28"/>
        </w:rPr>
        <w:t>（1）整合矿山数量</w:t>
      </w:r>
    </w:p>
    <w:p>
      <w:pPr>
        <w:spacing w:line="360" w:lineRule="auto"/>
        <w:ind w:firstLine="560" w:firstLineChars="200"/>
        <w:rPr>
          <w:sz w:val="28"/>
          <w:szCs w:val="28"/>
        </w:rPr>
      </w:pPr>
      <w:r>
        <w:rPr>
          <w:rFonts w:hint="eastAsia"/>
          <w:sz w:val="28"/>
          <w:szCs w:val="28"/>
        </w:rPr>
        <w:t>本次规划整合矿山数量由</w:t>
      </w:r>
      <w:r>
        <w:rPr>
          <w:sz w:val="28"/>
          <w:szCs w:val="28"/>
        </w:rPr>
        <w:t>8</w:t>
      </w:r>
      <w:r>
        <w:rPr>
          <w:rFonts w:hint="eastAsia"/>
          <w:sz w:val="28"/>
          <w:szCs w:val="28"/>
        </w:rPr>
        <w:t>个采矿权整合为</w:t>
      </w:r>
      <w:r>
        <w:rPr>
          <w:sz w:val="28"/>
          <w:szCs w:val="28"/>
        </w:rPr>
        <w:t>4</w:t>
      </w:r>
      <w:r>
        <w:rPr>
          <w:rFonts w:hint="eastAsia"/>
          <w:sz w:val="28"/>
          <w:szCs w:val="28"/>
        </w:rPr>
        <w:t>个规划区块。</w:t>
      </w:r>
    </w:p>
    <w:p>
      <w:pPr>
        <w:spacing w:line="360" w:lineRule="auto"/>
        <w:ind w:firstLine="560" w:firstLineChars="200"/>
        <w:rPr>
          <w:sz w:val="28"/>
          <w:szCs w:val="28"/>
        </w:rPr>
      </w:pPr>
      <w:r>
        <w:rPr>
          <w:rFonts w:hint="eastAsia"/>
          <w:sz w:val="28"/>
          <w:szCs w:val="28"/>
        </w:rPr>
        <w:t>（2）技术要求</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整合矿山原则上仅限于独立的同一山体内的，或间距小于300米且可以共用同一开采系统的的相邻矿山，两矿之间无各类保护地、生态保护红线、永久基本农田、城镇开发边界、无村庄房屋等，且拟整合后保有资源储量达到开发利用要求，面积不小于0.1</w:t>
      </w:r>
      <w:r>
        <w:rPr>
          <w:rFonts w:hint="eastAsia"/>
          <w:sz w:val="28"/>
          <w:szCs w:val="28"/>
        </w:rPr>
        <w:t>Km</w:t>
      </w:r>
      <w:r>
        <w:rPr>
          <w:rFonts w:hint="eastAsia"/>
          <w:sz w:val="28"/>
          <w:szCs w:val="28"/>
          <w:vertAlign w:val="superscript"/>
        </w:rPr>
        <w:t>2</w:t>
      </w:r>
      <w:r>
        <w:rPr>
          <w:rFonts w:hint="eastAsia" w:asciiTheme="minorEastAsia" w:hAnsiTheme="minorEastAsia" w:eastAsiaTheme="minorEastAsia" w:cstheme="minorEastAsia"/>
          <w:sz w:val="28"/>
          <w:szCs w:val="28"/>
        </w:rPr>
        <w:t>。</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耒阳市整合矿山4个，见专栏七。</w:t>
      </w:r>
    </w:p>
    <w:p>
      <w:pPr>
        <w:pStyle w:val="15"/>
        <w:widowControl/>
        <w:spacing w:before="150" w:beforeAutospacing="0" w:afterAutospacing="0" w:line="360" w:lineRule="auto"/>
        <w:jc w:val="both"/>
        <w:rPr>
          <w:rStyle w:val="20"/>
          <w:rFonts w:ascii="Arial" w:hAnsi="Arial" w:cs="Arial"/>
          <w:sz w:val="21"/>
          <w:szCs w:val="22"/>
        </w:rPr>
      </w:pPr>
      <w:r>
        <w:rPr>
          <w:rStyle w:val="20"/>
          <w:rFonts w:hint="eastAsia" w:ascii="Arial" w:hAnsi="Arial" w:cs="Arial"/>
          <w:sz w:val="21"/>
          <w:szCs w:val="22"/>
        </w:rPr>
        <w:t>专栏七耒阳市整合矿山名单表</w:t>
      </w:r>
    </w:p>
    <w:tbl>
      <w:tblPr>
        <w:tblStyle w:val="17"/>
        <w:tblW w:w="9977"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630"/>
        <w:gridCol w:w="1318"/>
        <w:gridCol w:w="992"/>
        <w:gridCol w:w="1033"/>
        <w:gridCol w:w="1172"/>
        <w:gridCol w:w="1097"/>
        <w:gridCol w:w="1371"/>
        <w:gridCol w:w="1241"/>
        <w:gridCol w:w="112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03" w:hRule="atLeast"/>
          <w:jc w:val="center"/>
        </w:trPr>
        <w:tc>
          <w:tcPr>
            <w:tcW w:w="630" w:type="dxa"/>
            <w:vAlign w:val="center"/>
          </w:tcPr>
          <w:p>
            <w:pPr>
              <w:widowControl/>
              <w:jc w:val="center"/>
              <w:rPr>
                <w:rFonts w:ascii="宋体" w:hAnsi="宋体" w:cs="宋体"/>
                <w:sz w:val="20"/>
                <w:szCs w:val="20"/>
              </w:rPr>
            </w:pPr>
            <w:r>
              <w:rPr>
                <w:rFonts w:hint="eastAsia" w:ascii="宋体" w:hAnsi="宋体" w:cs="宋体"/>
                <w:sz w:val="20"/>
                <w:szCs w:val="20"/>
              </w:rPr>
              <w:t>序号</w:t>
            </w:r>
          </w:p>
        </w:tc>
        <w:tc>
          <w:tcPr>
            <w:tcW w:w="1318" w:type="dxa"/>
            <w:vAlign w:val="center"/>
          </w:tcPr>
          <w:p>
            <w:pPr>
              <w:widowControl/>
              <w:jc w:val="center"/>
              <w:rPr>
                <w:rFonts w:ascii="宋体" w:hAnsi="宋体" w:cs="宋体"/>
                <w:sz w:val="20"/>
                <w:szCs w:val="20"/>
              </w:rPr>
            </w:pPr>
            <w:r>
              <w:rPr>
                <w:rFonts w:hint="eastAsia" w:ascii="宋体" w:hAnsi="宋体" w:cs="宋体"/>
                <w:sz w:val="20"/>
                <w:szCs w:val="20"/>
              </w:rPr>
              <w:t>整合主体</w:t>
            </w:r>
          </w:p>
          <w:p>
            <w:pPr>
              <w:widowControl/>
              <w:jc w:val="center"/>
              <w:rPr>
                <w:rFonts w:ascii="宋体" w:hAnsi="宋体" w:cs="宋体"/>
                <w:sz w:val="20"/>
                <w:szCs w:val="20"/>
              </w:rPr>
            </w:pPr>
            <w:r>
              <w:rPr>
                <w:rFonts w:hint="eastAsia" w:ascii="宋体" w:hAnsi="宋体" w:cs="宋体"/>
                <w:sz w:val="20"/>
                <w:szCs w:val="20"/>
              </w:rPr>
              <w:t>矿山名称</w:t>
            </w:r>
          </w:p>
        </w:tc>
        <w:tc>
          <w:tcPr>
            <w:tcW w:w="992" w:type="dxa"/>
            <w:vAlign w:val="center"/>
          </w:tcPr>
          <w:p>
            <w:pPr>
              <w:widowControl/>
              <w:jc w:val="center"/>
              <w:rPr>
                <w:rFonts w:ascii="宋体" w:hAnsi="宋体" w:cs="宋体"/>
                <w:sz w:val="20"/>
                <w:szCs w:val="20"/>
              </w:rPr>
            </w:pPr>
            <w:r>
              <w:rPr>
                <w:rFonts w:hint="eastAsia" w:ascii="宋体" w:hAnsi="宋体" w:cs="宋体"/>
                <w:sz w:val="20"/>
                <w:szCs w:val="20"/>
              </w:rPr>
              <w:t>整合主体</w:t>
            </w:r>
          </w:p>
          <w:p>
            <w:pPr>
              <w:widowControl/>
              <w:jc w:val="center"/>
              <w:rPr>
                <w:rFonts w:ascii="宋体" w:hAnsi="宋体" w:cs="宋体"/>
                <w:sz w:val="20"/>
                <w:szCs w:val="20"/>
              </w:rPr>
            </w:pPr>
            <w:r>
              <w:rPr>
                <w:rFonts w:hint="eastAsia" w:ascii="宋体" w:hAnsi="宋体" w:cs="宋体"/>
                <w:sz w:val="20"/>
                <w:szCs w:val="20"/>
              </w:rPr>
              <w:t>矿山采矿许可证</w:t>
            </w:r>
          </w:p>
        </w:tc>
        <w:tc>
          <w:tcPr>
            <w:tcW w:w="1033" w:type="dxa"/>
            <w:tcBorders>
              <w:right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整合后矿山矿区面积（Km2）</w:t>
            </w:r>
          </w:p>
        </w:tc>
        <w:tc>
          <w:tcPr>
            <w:tcW w:w="1172" w:type="dxa"/>
            <w:tcBorders>
              <w:left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整合后矿山保有资源储量（万吨）</w:t>
            </w:r>
          </w:p>
        </w:tc>
        <w:tc>
          <w:tcPr>
            <w:tcW w:w="1097" w:type="dxa"/>
            <w:vAlign w:val="center"/>
          </w:tcPr>
          <w:p>
            <w:pPr>
              <w:widowControl/>
              <w:jc w:val="center"/>
              <w:rPr>
                <w:rFonts w:ascii="宋体" w:hAnsi="宋体" w:cs="宋体"/>
                <w:sz w:val="20"/>
                <w:szCs w:val="20"/>
              </w:rPr>
            </w:pPr>
            <w:r>
              <w:rPr>
                <w:rFonts w:hint="eastAsia" w:ascii="宋体" w:hAnsi="宋体" w:cs="宋体"/>
                <w:sz w:val="20"/>
                <w:szCs w:val="20"/>
              </w:rPr>
              <w:t>整合后设计生产规模（万吨/年）</w:t>
            </w:r>
          </w:p>
        </w:tc>
        <w:tc>
          <w:tcPr>
            <w:tcW w:w="1371" w:type="dxa"/>
            <w:vAlign w:val="center"/>
          </w:tcPr>
          <w:p>
            <w:pPr>
              <w:widowControl/>
              <w:jc w:val="center"/>
              <w:rPr>
                <w:rFonts w:ascii="宋体" w:hAnsi="宋体" w:cs="宋体"/>
                <w:sz w:val="20"/>
                <w:szCs w:val="20"/>
              </w:rPr>
            </w:pPr>
            <w:r>
              <w:rPr>
                <w:rFonts w:hint="eastAsia" w:ascii="宋体" w:hAnsi="宋体" w:cs="宋体"/>
                <w:sz w:val="20"/>
                <w:szCs w:val="20"/>
              </w:rPr>
              <w:t>被整合矿山名称</w:t>
            </w:r>
          </w:p>
        </w:tc>
        <w:tc>
          <w:tcPr>
            <w:tcW w:w="1241" w:type="dxa"/>
            <w:vAlign w:val="center"/>
          </w:tcPr>
          <w:p>
            <w:pPr>
              <w:widowControl/>
              <w:jc w:val="center"/>
              <w:rPr>
                <w:rFonts w:ascii="宋体" w:hAnsi="宋体" w:cs="宋体"/>
                <w:sz w:val="20"/>
                <w:szCs w:val="20"/>
              </w:rPr>
            </w:pPr>
            <w:r>
              <w:rPr>
                <w:rFonts w:hint="eastAsia" w:ascii="宋体" w:hAnsi="宋体" w:cs="宋体"/>
                <w:sz w:val="20"/>
                <w:szCs w:val="20"/>
              </w:rPr>
              <w:t>被整合矿山名称采矿许可证</w:t>
            </w:r>
          </w:p>
        </w:tc>
        <w:tc>
          <w:tcPr>
            <w:tcW w:w="1123" w:type="dxa"/>
            <w:vAlign w:val="center"/>
          </w:tcPr>
          <w:p>
            <w:pPr>
              <w:widowControl/>
              <w:jc w:val="center"/>
              <w:rPr>
                <w:rFonts w:ascii="宋体" w:hAnsi="宋体" w:cs="宋体"/>
                <w:color w:val="FF0000"/>
                <w:sz w:val="20"/>
                <w:szCs w:val="20"/>
              </w:rPr>
            </w:pPr>
            <w:r>
              <w:rPr>
                <w:rFonts w:hint="eastAsia" w:ascii="宋体" w:hAnsi="宋体" w:cs="宋体"/>
                <w:color w:val="FF0000"/>
                <w:sz w:val="20"/>
                <w:szCs w:val="20"/>
              </w:rPr>
              <w:t>整合后名称：</w:t>
            </w:r>
            <w:r>
              <w:rPr>
                <w:rFonts w:ascii="宋体" w:hAnsi="宋体" w:cs="宋体"/>
                <w:color w:val="FF0000"/>
                <w:sz w:val="20"/>
                <w:szCs w:val="20"/>
              </w:rPr>
              <w:t xml:space="preserve"> </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2" w:hRule="atLeast"/>
          <w:jc w:val="center"/>
        </w:trPr>
        <w:tc>
          <w:tcPr>
            <w:tcW w:w="630" w:type="dxa"/>
            <w:tcBorders>
              <w:top w:val="single" w:color="auto" w:sz="4" w:space="0"/>
              <w:bottom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1</w:t>
            </w:r>
          </w:p>
        </w:tc>
        <w:tc>
          <w:tcPr>
            <w:tcW w:w="1318" w:type="dxa"/>
            <w:tcBorders>
              <w:top w:val="single" w:color="auto" w:sz="4" w:space="0"/>
              <w:bottom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耒阳市民顺石料有限公司小水镇嘹亮村石灰岩矿</w:t>
            </w:r>
          </w:p>
        </w:tc>
        <w:tc>
          <w:tcPr>
            <w:tcW w:w="992" w:type="dxa"/>
            <w:tcBorders>
              <w:top w:val="single" w:color="auto" w:sz="4" w:space="0"/>
              <w:bottom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C4304812015097130139792</w:t>
            </w:r>
          </w:p>
        </w:tc>
        <w:tc>
          <w:tcPr>
            <w:tcW w:w="1033" w:type="dxa"/>
            <w:tcBorders>
              <w:top w:val="single" w:color="auto" w:sz="4" w:space="0"/>
              <w:bottom w:val="single" w:color="auto" w:sz="4" w:space="0"/>
              <w:right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0.2792</w:t>
            </w:r>
          </w:p>
        </w:tc>
        <w:tc>
          <w:tcPr>
            <w:tcW w:w="1172" w:type="dxa"/>
            <w:tcBorders>
              <w:top w:val="single" w:color="auto" w:sz="4" w:space="0"/>
              <w:left w:val="single" w:color="auto" w:sz="4" w:space="0"/>
              <w:bottom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2300</w:t>
            </w:r>
          </w:p>
        </w:tc>
        <w:tc>
          <w:tcPr>
            <w:tcW w:w="1097" w:type="dxa"/>
            <w:tcBorders>
              <w:top w:val="single" w:color="auto" w:sz="4" w:space="0"/>
              <w:bottom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100</w:t>
            </w:r>
          </w:p>
        </w:tc>
        <w:tc>
          <w:tcPr>
            <w:tcW w:w="1371" w:type="dxa"/>
            <w:tcBorders>
              <w:top w:val="single" w:color="auto" w:sz="4" w:space="0"/>
              <w:bottom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耒阳万路达建材有限公司万路达石灰岩矿</w:t>
            </w:r>
          </w:p>
        </w:tc>
        <w:tc>
          <w:tcPr>
            <w:tcW w:w="1241" w:type="dxa"/>
            <w:tcBorders>
              <w:top w:val="single" w:color="auto" w:sz="4" w:space="0"/>
              <w:bottom w:val="single" w:color="auto" w:sz="4" w:space="0"/>
            </w:tcBorders>
            <w:shd w:val="clear" w:color="auto" w:fill="auto"/>
            <w:vAlign w:val="center"/>
          </w:tcPr>
          <w:p>
            <w:pPr>
              <w:widowControl/>
              <w:jc w:val="center"/>
              <w:rPr>
                <w:rFonts w:ascii="宋体" w:hAnsi="宋体" w:cs="宋体"/>
                <w:sz w:val="20"/>
                <w:szCs w:val="20"/>
              </w:rPr>
            </w:pPr>
            <w:r>
              <w:rPr>
                <w:rFonts w:hint="eastAsia" w:ascii="宋体" w:hAnsi="宋体" w:cs="宋体"/>
                <w:sz w:val="20"/>
                <w:szCs w:val="20"/>
              </w:rPr>
              <w:t>C4304812016127130143473</w:t>
            </w:r>
          </w:p>
        </w:tc>
        <w:tc>
          <w:tcPr>
            <w:tcW w:w="1123" w:type="dxa"/>
            <w:tcBorders>
              <w:top w:val="single" w:color="auto" w:sz="4" w:space="0"/>
              <w:bottom w:val="single" w:color="auto" w:sz="4" w:space="0"/>
            </w:tcBorders>
            <w:shd w:val="clear" w:color="auto" w:fill="auto"/>
            <w:vAlign w:val="center"/>
          </w:tcPr>
          <w:p>
            <w:pPr>
              <w:widowControl/>
              <w:jc w:val="center"/>
              <w:rPr>
                <w:rFonts w:ascii="宋体" w:hAnsi="宋体" w:cs="宋体"/>
                <w:color w:val="FF0000"/>
                <w:sz w:val="20"/>
                <w:szCs w:val="20"/>
              </w:rPr>
            </w:pPr>
            <w:r>
              <w:rPr>
                <w:rFonts w:hint="eastAsia" w:ascii="宋体" w:hAnsi="宋体" w:cs="宋体"/>
                <w:color w:val="FF0000"/>
                <w:sz w:val="20"/>
                <w:szCs w:val="20"/>
              </w:rPr>
              <w:t>耒阳市小水镇嘹亮村建筑石料用灰岩矿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93" w:hRule="atLeast"/>
          <w:jc w:val="center"/>
        </w:trPr>
        <w:tc>
          <w:tcPr>
            <w:tcW w:w="630"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2</w:t>
            </w:r>
          </w:p>
        </w:tc>
        <w:tc>
          <w:tcPr>
            <w:tcW w:w="1318"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耒阳市力英建筑材料有限公司</w:t>
            </w:r>
          </w:p>
        </w:tc>
        <w:tc>
          <w:tcPr>
            <w:tcW w:w="992"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C4304812017107130145327</w:t>
            </w:r>
          </w:p>
        </w:tc>
        <w:tc>
          <w:tcPr>
            <w:tcW w:w="1033" w:type="dxa"/>
            <w:tcBorders>
              <w:top w:val="single" w:color="auto" w:sz="4" w:space="0"/>
              <w:bottom w:val="single" w:color="auto" w:sz="4" w:space="0"/>
              <w:right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0.0458</w:t>
            </w:r>
          </w:p>
        </w:tc>
        <w:tc>
          <w:tcPr>
            <w:tcW w:w="1172" w:type="dxa"/>
            <w:tcBorders>
              <w:top w:val="single" w:color="auto" w:sz="4" w:space="0"/>
              <w:left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296.5</w:t>
            </w:r>
          </w:p>
        </w:tc>
        <w:tc>
          <w:tcPr>
            <w:tcW w:w="1097"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30</w:t>
            </w:r>
          </w:p>
        </w:tc>
        <w:tc>
          <w:tcPr>
            <w:tcW w:w="1371"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耒阳市鑫红发新型环保砖有限公司</w:t>
            </w:r>
          </w:p>
        </w:tc>
        <w:tc>
          <w:tcPr>
            <w:tcW w:w="1241"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C43048120171071301453</w:t>
            </w:r>
          </w:p>
        </w:tc>
        <w:tc>
          <w:tcPr>
            <w:tcW w:w="1123" w:type="dxa"/>
            <w:tcBorders>
              <w:top w:val="single" w:color="auto" w:sz="4" w:space="0"/>
              <w:bottom w:val="single" w:color="auto" w:sz="4" w:space="0"/>
            </w:tcBorders>
            <w:vAlign w:val="center"/>
          </w:tcPr>
          <w:p>
            <w:pPr>
              <w:widowControl/>
              <w:jc w:val="center"/>
              <w:rPr>
                <w:rFonts w:ascii="宋体" w:hAnsi="宋体" w:cs="宋体"/>
                <w:color w:val="FF0000"/>
                <w:sz w:val="20"/>
                <w:szCs w:val="20"/>
              </w:rPr>
            </w:pPr>
            <w:r>
              <w:rPr>
                <w:rFonts w:hint="eastAsia" w:ascii="宋体" w:hAnsi="宋体" w:cs="宋体"/>
                <w:color w:val="FF0000"/>
                <w:sz w:val="20"/>
                <w:szCs w:val="20"/>
              </w:rPr>
              <w:t>耒阳市水东江街道办事处砖瓦用页岩矿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748" w:hRule="atLeast"/>
          <w:jc w:val="center"/>
        </w:trPr>
        <w:tc>
          <w:tcPr>
            <w:tcW w:w="630" w:type="dxa"/>
            <w:vMerge w:val="restart"/>
            <w:tcBorders>
              <w:top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3</w:t>
            </w:r>
          </w:p>
        </w:tc>
        <w:tc>
          <w:tcPr>
            <w:tcW w:w="1318" w:type="dxa"/>
            <w:vMerge w:val="restart"/>
            <w:tcBorders>
              <w:top w:val="single" w:color="auto" w:sz="4" w:space="0"/>
            </w:tcBorders>
            <w:vAlign w:val="center"/>
          </w:tcPr>
          <w:p>
            <w:pPr>
              <w:widowControl/>
              <w:jc w:val="center"/>
              <w:rPr>
                <w:rFonts w:ascii="宋体" w:hAnsi="宋体" w:cs="宋体"/>
                <w:color w:val="FF0000"/>
                <w:sz w:val="20"/>
                <w:szCs w:val="20"/>
              </w:rPr>
            </w:pPr>
          </w:p>
        </w:tc>
        <w:tc>
          <w:tcPr>
            <w:tcW w:w="992" w:type="dxa"/>
            <w:vMerge w:val="restart"/>
            <w:tcBorders>
              <w:top w:val="single" w:color="auto" w:sz="4" w:space="0"/>
            </w:tcBorders>
            <w:vAlign w:val="center"/>
          </w:tcPr>
          <w:p>
            <w:pPr>
              <w:widowControl/>
              <w:jc w:val="center"/>
              <w:rPr>
                <w:rFonts w:ascii="宋体" w:hAnsi="宋体" w:cs="宋体"/>
                <w:sz w:val="20"/>
                <w:szCs w:val="20"/>
              </w:rPr>
            </w:pPr>
          </w:p>
        </w:tc>
        <w:tc>
          <w:tcPr>
            <w:tcW w:w="1033" w:type="dxa"/>
            <w:vMerge w:val="restart"/>
            <w:tcBorders>
              <w:top w:val="single" w:color="auto" w:sz="4" w:space="0"/>
              <w:right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0.322</w:t>
            </w:r>
          </w:p>
        </w:tc>
        <w:tc>
          <w:tcPr>
            <w:tcW w:w="1172" w:type="dxa"/>
            <w:vMerge w:val="restart"/>
            <w:tcBorders>
              <w:top w:val="single" w:color="auto" w:sz="4" w:space="0"/>
              <w:left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1800</w:t>
            </w:r>
          </w:p>
        </w:tc>
        <w:tc>
          <w:tcPr>
            <w:tcW w:w="1097" w:type="dxa"/>
            <w:vMerge w:val="restart"/>
            <w:tcBorders>
              <w:top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100</w:t>
            </w:r>
          </w:p>
        </w:tc>
        <w:tc>
          <w:tcPr>
            <w:tcW w:w="1371"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耒阳市枫林寺采石场</w:t>
            </w:r>
          </w:p>
        </w:tc>
        <w:tc>
          <w:tcPr>
            <w:tcW w:w="1241" w:type="dxa"/>
            <w:tcBorders>
              <w:top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 xml:space="preserve">C4304812009067130025309 </w:t>
            </w:r>
          </w:p>
        </w:tc>
        <w:tc>
          <w:tcPr>
            <w:tcW w:w="1123" w:type="dxa"/>
            <w:vMerge w:val="restart"/>
            <w:tcBorders>
              <w:top w:val="single" w:color="auto" w:sz="4" w:space="0"/>
            </w:tcBorders>
            <w:vAlign w:val="center"/>
          </w:tcPr>
          <w:p>
            <w:pPr>
              <w:widowControl/>
              <w:jc w:val="center"/>
              <w:rPr>
                <w:rFonts w:ascii="宋体" w:hAnsi="宋体" w:cs="宋体"/>
                <w:color w:val="FF0000"/>
                <w:sz w:val="20"/>
                <w:szCs w:val="20"/>
              </w:rPr>
            </w:pPr>
            <w:r>
              <w:rPr>
                <w:rFonts w:hint="eastAsia" w:ascii="宋体" w:hAnsi="宋体" w:cs="宋体"/>
                <w:color w:val="FF0000"/>
                <w:sz w:val="20"/>
                <w:szCs w:val="20"/>
              </w:rPr>
              <w:t>耒阳市南京镇江里村建筑石料用灰岩矿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45" w:hRule="atLeast"/>
          <w:jc w:val="center"/>
        </w:trPr>
        <w:tc>
          <w:tcPr>
            <w:tcW w:w="630" w:type="dxa"/>
            <w:vMerge w:val="continue"/>
            <w:tcBorders>
              <w:bottom w:val="single" w:color="auto" w:sz="4" w:space="0"/>
            </w:tcBorders>
            <w:vAlign w:val="center"/>
          </w:tcPr>
          <w:p>
            <w:pPr>
              <w:widowControl/>
              <w:jc w:val="center"/>
              <w:rPr>
                <w:rFonts w:hint="eastAsia" w:ascii="宋体" w:hAnsi="宋体" w:cs="宋体"/>
                <w:sz w:val="20"/>
                <w:szCs w:val="20"/>
              </w:rPr>
            </w:pPr>
          </w:p>
        </w:tc>
        <w:tc>
          <w:tcPr>
            <w:tcW w:w="1318" w:type="dxa"/>
            <w:vMerge w:val="continue"/>
            <w:tcBorders>
              <w:bottom w:val="single" w:color="auto" w:sz="4" w:space="0"/>
            </w:tcBorders>
            <w:vAlign w:val="center"/>
          </w:tcPr>
          <w:p>
            <w:pPr>
              <w:widowControl/>
              <w:jc w:val="center"/>
              <w:rPr>
                <w:rFonts w:ascii="宋体" w:hAnsi="宋体" w:cs="宋体"/>
                <w:color w:val="FF0000"/>
                <w:sz w:val="20"/>
                <w:szCs w:val="20"/>
              </w:rPr>
            </w:pPr>
          </w:p>
        </w:tc>
        <w:tc>
          <w:tcPr>
            <w:tcW w:w="992" w:type="dxa"/>
            <w:vMerge w:val="continue"/>
            <w:tcBorders>
              <w:bottom w:val="single" w:color="auto" w:sz="4" w:space="0"/>
            </w:tcBorders>
            <w:vAlign w:val="center"/>
          </w:tcPr>
          <w:p>
            <w:pPr>
              <w:widowControl/>
              <w:jc w:val="center"/>
              <w:rPr>
                <w:rFonts w:ascii="宋体" w:hAnsi="宋体" w:cs="宋体"/>
                <w:sz w:val="20"/>
                <w:szCs w:val="20"/>
              </w:rPr>
            </w:pPr>
          </w:p>
        </w:tc>
        <w:tc>
          <w:tcPr>
            <w:tcW w:w="1033" w:type="dxa"/>
            <w:vMerge w:val="continue"/>
            <w:tcBorders>
              <w:bottom w:val="single" w:color="auto" w:sz="4" w:space="0"/>
              <w:right w:val="single" w:color="auto" w:sz="4" w:space="0"/>
            </w:tcBorders>
            <w:vAlign w:val="center"/>
          </w:tcPr>
          <w:p>
            <w:pPr>
              <w:widowControl/>
              <w:jc w:val="center"/>
              <w:rPr>
                <w:rFonts w:hint="eastAsia" w:ascii="宋体" w:hAnsi="宋体" w:cs="宋体"/>
                <w:sz w:val="20"/>
                <w:szCs w:val="20"/>
              </w:rPr>
            </w:pPr>
          </w:p>
        </w:tc>
        <w:tc>
          <w:tcPr>
            <w:tcW w:w="1172" w:type="dxa"/>
            <w:vMerge w:val="continue"/>
            <w:tcBorders>
              <w:left w:val="single" w:color="auto" w:sz="4" w:space="0"/>
              <w:bottom w:val="single" w:color="auto" w:sz="4" w:space="0"/>
            </w:tcBorders>
            <w:vAlign w:val="center"/>
          </w:tcPr>
          <w:p>
            <w:pPr>
              <w:widowControl/>
              <w:jc w:val="center"/>
              <w:rPr>
                <w:rFonts w:hint="eastAsia" w:ascii="宋体" w:hAnsi="宋体" w:cs="宋体"/>
                <w:sz w:val="20"/>
                <w:szCs w:val="20"/>
              </w:rPr>
            </w:pPr>
          </w:p>
        </w:tc>
        <w:tc>
          <w:tcPr>
            <w:tcW w:w="1097" w:type="dxa"/>
            <w:vMerge w:val="continue"/>
            <w:tcBorders>
              <w:bottom w:val="single" w:color="auto" w:sz="4" w:space="0"/>
            </w:tcBorders>
            <w:vAlign w:val="center"/>
          </w:tcPr>
          <w:p>
            <w:pPr>
              <w:widowControl/>
              <w:jc w:val="center"/>
              <w:rPr>
                <w:rFonts w:hint="eastAsia" w:ascii="宋体" w:hAnsi="宋体" w:cs="宋体"/>
                <w:sz w:val="20"/>
                <w:szCs w:val="20"/>
              </w:rPr>
            </w:pPr>
          </w:p>
        </w:tc>
        <w:tc>
          <w:tcPr>
            <w:tcW w:w="1371" w:type="dxa"/>
            <w:tcBorders>
              <w:top w:val="single" w:color="auto" w:sz="4" w:space="0"/>
              <w:bottom w:val="single" w:color="auto" w:sz="4" w:space="0"/>
            </w:tcBorders>
            <w:vAlign w:val="center"/>
          </w:tcPr>
          <w:p>
            <w:pPr>
              <w:widowControl/>
              <w:jc w:val="center"/>
              <w:rPr>
                <w:rFonts w:hint="eastAsia" w:ascii="宋体" w:hAnsi="宋体" w:cs="宋体"/>
                <w:sz w:val="20"/>
                <w:szCs w:val="20"/>
              </w:rPr>
            </w:pPr>
            <w:r>
              <w:rPr>
                <w:rFonts w:hint="eastAsia" w:ascii="宋体" w:hAnsi="宋体" w:cs="宋体"/>
                <w:sz w:val="20"/>
                <w:szCs w:val="20"/>
              </w:rPr>
              <w:t>南京乡徐氏石料开采场</w:t>
            </w:r>
          </w:p>
        </w:tc>
        <w:tc>
          <w:tcPr>
            <w:tcW w:w="1241" w:type="dxa"/>
            <w:tcBorders>
              <w:bottom w:val="single" w:color="auto" w:sz="4" w:space="0"/>
            </w:tcBorders>
            <w:vAlign w:val="center"/>
          </w:tcPr>
          <w:p>
            <w:pPr>
              <w:widowControl/>
              <w:jc w:val="center"/>
              <w:rPr>
                <w:rFonts w:hint="eastAsia" w:ascii="宋体" w:hAnsi="宋体" w:cs="宋体"/>
                <w:sz w:val="20"/>
                <w:szCs w:val="20"/>
              </w:rPr>
            </w:pPr>
            <w:r>
              <w:rPr>
                <w:rFonts w:hint="eastAsia" w:ascii="宋体" w:hAnsi="宋体" w:cs="宋体"/>
                <w:sz w:val="20"/>
                <w:szCs w:val="20"/>
              </w:rPr>
              <w:t>C4304812010127130098655</w:t>
            </w:r>
          </w:p>
        </w:tc>
        <w:tc>
          <w:tcPr>
            <w:tcW w:w="1123" w:type="dxa"/>
            <w:vMerge w:val="continue"/>
            <w:tcBorders>
              <w:bottom w:val="single" w:color="auto" w:sz="4" w:space="0"/>
            </w:tcBorders>
            <w:vAlign w:val="center"/>
          </w:tcPr>
          <w:p>
            <w:pPr>
              <w:widowControl/>
              <w:jc w:val="center"/>
              <w:rPr>
                <w:rFonts w:hint="eastAsia" w:ascii="宋体" w:hAnsi="宋体" w:cs="宋体"/>
                <w:color w:val="FF0000"/>
                <w:sz w:val="20"/>
                <w:szCs w:val="20"/>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9" w:hRule="atLeast"/>
          <w:jc w:val="center"/>
        </w:trPr>
        <w:tc>
          <w:tcPr>
            <w:tcW w:w="630" w:type="dxa"/>
            <w:vMerge w:val="restart"/>
            <w:tcBorders>
              <w:top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4</w:t>
            </w:r>
          </w:p>
        </w:tc>
        <w:tc>
          <w:tcPr>
            <w:tcW w:w="1318" w:type="dxa"/>
            <w:vMerge w:val="restart"/>
            <w:tcBorders>
              <w:top w:val="single" w:color="auto" w:sz="4" w:space="0"/>
            </w:tcBorders>
            <w:vAlign w:val="center"/>
          </w:tcPr>
          <w:p>
            <w:pPr>
              <w:widowControl/>
              <w:jc w:val="center"/>
              <w:rPr>
                <w:rFonts w:ascii="宋体" w:hAnsi="宋体" w:cs="宋体"/>
                <w:color w:val="FF0000"/>
                <w:sz w:val="20"/>
                <w:szCs w:val="20"/>
              </w:rPr>
            </w:pPr>
          </w:p>
        </w:tc>
        <w:tc>
          <w:tcPr>
            <w:tcW w:w="992" w:type="dxa"/>
            <w:vMerge w:val="restart"/>
            <w:tcBorders>
              <w:top w:val="single" w:color="auto" w:sz="4" w:space="0"/>
            </w:tcBorders>
            <w:vAlign w:val="center"/>
          </w:tcPr>
          <w:p>
            <w:pPr>
              <w:widowControl/>
              <w:jc w:val="center"/>
              <w:rPr>
                <w:rFonts w:ascii="宋体" w:hAnsi="宋体" w:cs="宋体"/>
                <w:sz w:val="20"/>
                <w:szCs w:val="20"/>
              </w:rPr>
            </w:pPr>
          </w:p>
        </w:tc>
        <w:tc>
          <w:tcPr>
            <w:tcW w:w="1033" w:type="dxa"/>
            <w:vMerge w:val="restart"/>
            <w:tcBorders>
              <w:top w:val="single" w:color="auto" w:sz="4" w:space="0"/>
              <w:right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0.1247</w:t>
            </w:r>
          </w:p>
        </w:tc>
        <w:tc>
          <w:tcPr>
            <w:tcW w:w="1172" w:type="dxa"/>
            <w:vMerge w:val="restart"/>
            <w:tcBorders>
              <w:top w:val="single" w:color="auto" w:sz="4" w:space="0"/>
              <w:left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540</w:t>
            </w:r>
          </w:p>
        </w:tc>
        <w:tc>
          <w:tcPr>
            <w:tcW w:w="1097" w:type="dxa"/>
            <w:vMerge w:val="restart"/>
            <w:tcBorders>
              <w:top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60</w:t>
            </w:r>
          </w:p>
        </w:tc>
        <w:tc>
          <w:tcPr>
            <w:tcW w:w="1371" w:type="dxa"/>
            <w:tcBorders>
              <w:top w:val="single" w:color="auto" w:sz="4" w:space="0"/>
              <w:bottom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耒阳市大和圩乡存谷村采石场</w:t>
            </w:r>
          </w:p>
        </w:tc>
        <w:tc>
          <w:tcPr>
            <w:tcW w:w="1241" w:type="dxa"/>
            <w:tcBorders>
              <w:top w:val="single" w:color="auto" w:sz="4" w:space="0"/>
            </w:tcBorders>
            <w:vAlign w:val="center"/>
          </w:tcPr>
          <w:p>
            <w:pPr>
              <w:widowControl/>
              <w:jc w:val="center"/>
              <w:rPr>
                <w:rFonts w:ascii="宋体" w:hAnsi="宋体" w:cs="宋体"/>
                <w:sz w:val="20"/>
                <w:szCs w:val="20"/>
              </w:rPr>
            </w:pPr>
            <w:r>
              <w:rPr>
                <w:rFonts w:hint="eastAsia" w:ascii="宋体" w:hAnsi="宋体" w:cs="宋体"/>
                <w:sz w:val="20"/>
                <w:szCs w:val="20"/>
              </w:rPr>
              <w:t>C4304812009127130050277</w:t>
            </w:r>
          </w:p>
        </w:tc>
        <w:tc>
          <w:tcPr>
            <w:tcW w:w="1123" w:type="dxa"/>
            <w:vMerge w:val="restart"/>
            <w:tcBorders>
              <w:top w:val="single" w:color="auto" w:sz="4" w:space="0"/>
            </w:tcBorders>
            <w:vAlign w:val="center"/>
          </w:tcPr>
          <w:p>
            <w:pPr>
              <w:widowControl/>
              <w:jc w:val="center"/>
              <w:rPr>
                <w:rFonts w:ascii="宋体" w:hAnsi="宋体" w:cs="宋体"/>
                <w:color w:val="FF0000"/>
                <w:sz w:val="20"/>
                <w:szCs w:val="20"/>
              </w:rPr>
            </w:pPr>
            <w:r>
              <w:rPr>
                <w:rFonts w:hint="eastAsia" w:ascii="宋体" w:hAnsi="宋体" w:cs="宋体"/>
                <w:color w:val="FF0000"/>
                <w:sz w:val="20"/>
                <w:szCs w:val="20"/>
              </w:rPr>
              <w:t>耒阳市大和圩乡存谷村建筑用玄武岩矿</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169" w:hRule="atLeast"/>
          <w:jc w:val="center"/>
        </w:trPr>
        <w:tc>
          <w:tcPr>
            <w:tcW w:w="630" w:type="dxa"/>
            <w:vMerge w:val="continue"/>
            <w:vAlign w:val="center"/>
          </w:tcPr>
          <w:p>
            <w:pPr>
              <w:widowControl/>
              <w:jc w:val="center"/>
              <w:rPr>
                <w:rFonts w:hint="eastAsia" w:ascii="宋体" w:hAnsi="宋体" w:cs="宋体"/>
                <w:sz w:val="20"/>
                <w:szCs w:val="20"/>
              </w:rPr>
            </w:pPr>
          </w:p>
        </w:tc>
        <w:tc>
          <w:tcPr>
            <w:tcW w:w="1318" w:type="dxa"/>
            <w:vMerge w:val="continue"/>
            <w:vAlign w:val="center"/>
          </w:tcPr>
          <w:p>
            <w:pPr>
              <w:widowControl/>
              <w:jc w:val="center"/>
              <w:rPr>
                <w:rFonts w:ascii="宋体" w:hAnsi="宋体" w:cs="宋体"/>
                <w:color w:val="FF0000"/>
                <w:sz w:val="20"/>
                <w:szCs w:val="20"/>
              </w:rPr>
            </w:pPr>
          </w:p>
        </w:tc>
        <w:tc>
          <w:tcPr>
            <w:tcW w:w="992" w:type="dxa"/>
            <w:vMerge w:val="continue"/>
            <w:vAlign w:val="center"/>
          </w:tcPr>
          <w:p>
            <w:pPr>
              <w:widowControl/>
              <w:jc w:val="center"/>
              <w:rPr>
                <w:rFonts w:ascii="宋体" w:hAnsi="宋体" w:cs="宋体"/>
                <w:sz w:val="20"/>
                <w:szCs w:val="20"/>
              </w:rPr>
            </w:pPr>
          </w:p>
        </w:tc>
        <w:tc>
          <w:tcPr>
            <w:tcW w:w="1033" w:type="dxa"/>
            <w:vMerge w:val="continue"/>
            <w:tcBorders>
              <w:right w:val="single" w:color="auto" w:sz="4" w:space="0"/>
            </w:tcBorders>
            <w:vAlign w:val="center"/>
          </w:tcPr>
          <w:p>
            <w:pPr>
              <w:widowControl/>
              <w:jc w:val="center"/>
              <w:rPr>
                <w:rFonts w:hint="eastAsia" w:ascii="宋体" w:hAnsi="宋体" w:cs="宋体"/>
                <w:sz w:val="20"/>
                <w:szCs w:val="20"/>
              </w:rPr>
            </w:pPr>
          </w:p>
        </w:tc>
        <w:tc>
          <w:tcPr>
            <w:tcW w:w="1172" w:type="dxa"/>
            <w:vMerge w:val="continue"/>
            <w:tcBorders>
              <w:left w:val="single" w:color="auto" w:sz="4" w:space="0"/>
            </w:tcBorders>
            <w:vAlign w:val="center"/>
          </w:tcPr>
          <w:p>
            <w:pPr>
              <w:widowControl/>
              <w:jc w:val="center"/>
              <w:rPr>
                <w:rFonts w:hint="eastAsia" w:ascii="宋体" w:hAnsi="宋体" w:cs="宋体"/>
                <w:sz w:val="20"/>
                <w:szCs w:val="20"/>
              </w:rPr>
            </w:pPr>
          </w:p>
        </w:tc>
        <w:tc>
          <w:tcPr>
            <w:tcW w:w="1097" w:type="dxa"/>
            <w:vMerge w:val="continue"/>
            <w:vAlign w:val="center"/>
          </w:tcPr>
          <w:p>
            <w:pPr>
              <w:widowControl/>
              <w:jc w:val="center"/>
              <w:rPr>
                <w:rFonts w:hint="eastAsia" w:ascii="宋体" w:hAnsi="宋体" w:cs="宋体"/>
                <w:sz w:val="20"/>
                <w:szCs w:val="20"/>
              </w:rPr>
            </w:pPr>
          </w:p>
        </w:tc>
        <w:tc>
          <w:tcPr>
            <w:tcW w:w="1371" w:type="dxa"/>
            <w:tcBorders>
              <w:top w:val="single" w:color="auto" w:sz="4" w:space="0"/>
            </w:tcBorders>
            <w:vAlign w:val="center"/>
          </w:tcPr>
          <w:p>
            <w:pPr>
              <w:widowControl/>
              <w:jc w:val="center"/>
              <w:rPr>
                <w:rFonts w:hint="eastAsia" w:ascii="宋体" w:hAnsi="宋体" w:cs="宋体"/>
                <w:sz w:val="20"/>
                <w:szCs w:val="20"/>
              </w:rPr>
            </w:pPr>
            <w:r>
              <w:rPr>
                <w:rFonts w:hint="eastAsia" w:ascii="宋体" w:hAnsi="宋体" w:cs="宋体"/>
                <w:sz w:val="20"/>
                <w:szCs w:val="20"/>
              </w:rPr>
              <w:t>耒阳市鑫辉矿业发展有限公司</w:t>
            </w:r>
          </w:p>
        </w:tc>
        <w:tc>
          <w:tcPr>
            <w:tcW w:w="1241" w:type="dxa"/>
            <w:vAlign w:val="center"/>
          </w:tcPr>
          <w:p>
            <w:pPr>
              <w:widowControl/>
              <w:jc w:val="center"/>
              <w:rPr>
                <w:rFonts w:hint="eastAsia" w:ascii="宋体" w:hAnsi="宋体" w:cs="宋体"/>
                <w:sz w:val="20"/>
                <w:szCs w:val="20"/>
              </w:rPr>
            </w:pPr>
            <w:r>
              <w:rPr>
                <w:rFonts w:hint="eastAsia" w:ascii="宋体" w:hAnsi="宋体" w:cs="宋体"/>
                <w:sz w:val="20"/>
                <w:szCs w:val="20"/>
              </w:rPr>
              <w:t>C4304812019027130147545</w:t>
            </w:r>
          </w:p>
        </w:tc>
        <w:tc>
          <w:tcPr>
            <w:tcW w:w="1123" w:type="dxa"/>
            <w:vMerge w:val="continue"/>
            <w:vAlign w:val="center"/>
          </w:tcPr>
          <w:p>
            <w:pPr>
              <w:widowControl/>
              <w:jc w:val="center"/>
              <w:rPr>
                <w:rFonts w:hint="eastAsia" w:ascii="宋体" w:hAnsi="宋体" w:cs="宋体"/>
                <w:color w:val="FF0000"/>
                <w:sz w:val="20"/>
                <w:szCs w:val="20"/>
              </w:rPr>
            </w:pPr>
          </w:p>
        </w:tc>
      </w:tr>
    </w:tbl>
    <w:p>
      <w:pPr>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①</w:t>
      </w:r>
      <w:r>
        <w:rPr>
          <w:rFonts w:hint="eastAsia" w:asciiTheme="minorEastAsia" w:hAnsiTheme="minorEastAsia" w:eastAsiaTheme="minorEastAsia" w:cstheme="minorEastAsia"/>
          <w:sz w:val="28"/>
          <w:szCs w:val="28"/>
        </w:rPr>
        <w:t>耒阳市小水镇嘹亮村建筑石料用灰岩开采规划区块</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CQ001</w:t>
      </w:r>
      <w:r>
        <w:rPr>
          <w:rFonts w:asciiTheme="minorEastAsia" w:hAnsiTheme="minorEastAsia" w:eastAsiaTheme="minorEastAsia" w:cstheme="minorEastAsia"/>
          <w:sz w:val="28"/>
          <w:szCs w:val="28"/>
        </w:rPr>
        <w:t>）</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该区块为整合矿山，为耒阳市民顺石料有限公司小水镇嘹亮村石灰岩矿与耒阳万路达建材有限公司万路达石灰岩矿整合，位于小水镇嘹亮村，开采矿种均为建筑石料用灰岩，矿体赋存于泥盆系锡矿山组灰岩段（D</w:t>
      </w:r>
      <w:r>
        <w:rPr>
          <w:rFonts w:hint="eastAsia" w:asciiTheme="minorEastAsia" w:hAnsiTheme="minorEastAsia" w:eastAsiaTheme="minorEastAsia" w:cstheme="minorEastAsia"/>
          <w:sz w:val="28"/>
          <w:szCs w:val="28"/>
          <w:vertAlign w:val="subscript"/>
        </w:rPr>
        <w:t>3</w:t>
      </w:r>
      <w:r>
        <w:rPr>
          <w:rFonts w:hint="eastAsia" w:asciiTheme="minorEastAsia" w:hAnsiTheme="minorEastAsia" w:eastAsiaTheme="minorEastAsia" w:cstheme="minorEastAsia"/>
          <w:sz w:val="28"/>
          <w:szCs w:val="28"/>
        </w:rPr>
        <w:t>X</w:t>
      </w:r>
      <w:r>
        <w:rPr>
          <w:rFonts w:hint="eastAsia" w:asciiTheme="minorEastAsia" w:hAnsiTheme="minorEastAsia" w:eastAsiaTheme="minorEastAsia" w:cstheme="minorEastAsia"/>
          <w:sz w:val="28"/>
          <w:szCs w:val="28"/>
          <w:vertAlign w:val="superscript"/>
        </w:rPr>
        <w:t>1</w:t>
      </w:r>
      <w:r>
        <w:rPr>
          <w:rFonts w:hint="eastAsia" w:asciiTheme="minorEastAsia" w:hAnsiTheme="minorEastAsia" w:eastAsiaTheme="minorEastAsia" w:cstheme="minorEastAsia"/>
          <w:sz w:val="28"/>
          <w:szCs w:val="28"/>
        </w:rPr>
        <w:t>），截至2018年底矿山保有资源储量分别为119.7、50.9万吨，设计生产能力均为10万吨/年，整合后区块范围由9个拐点圈定，面积0.2792平方千米，保有资源储量为2300万吨，设计生产能力为100万吨/年，有乡村公路与107国道相连，交通方便。区块与国道、居民区、重要构筑物相距300米以上，区块内拟设矿山能实现平移式开发。区块与生态保护红线、国家公益林、基本农田保护区平面不重叠。</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②耒阳市水东江街道办事处砖瓦用页岩开采规划区块</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CQ002</w:t>
      </w:r>
      <w:r>
        <w:rPr>
          <w:rFonts w:asciiTheme="minorEastAsia" w:hAnsiTheme="minorEastAsia" w:eastAsiaTheme="minorEastAsia" w:cstheme="minorEastAsia"/>
          <w:sz w:val="28"/>
          <w:szCs w:val="28"/>
        </w:rPr>
        <w:t>）</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该区块为整合矿山，为</w:t>
      </w:r>
      <w:r>
        <w:rPr>
          <w:rFonts w:asciiTheme="minorEastAsia" w:hAnsiTheme="minorEastAsia" w:eastAsiaTheme="minorEastAsia" w:cstheme="minorEastAsia"/>
          <w:sz w:val="28"/>
          <w:szCs w:val="28"/>
        </w:rPr>
        <w:t>耒阳市力英建筑材料有限公司</w:t>
      </w:r>
      <w:r>
        <w:rPr>
          <w:rFonts w:hint="eastAsia" w:asciiTheme="minorEastAsia" w:hAnsiTheme="minorEastAsia" w:eastAsiaTheme="minorEastAsia" w:cstheme="minorEastAsia"/>
          <w:sz w:val="28"/>
          <w:szCs w:val="28"/>
        </w:rPr>
        <w:t>与</w:t>
      </w:r>
      <w:r>
        <w:rPr>
          <w:rFonts w:asciiTheme="minorEastAsia" w:hAnsiTheme="minorEastAsia" w:eastAsiaTheme="minorEastAsia" w:cstheme="minorEastAsia"/>
          <w:sz w:val="28"/>
          <w:szCs w:val="28"/>
        </w:rPr>
        <w:t>耒阳市鑫红发新型环保砖有限公司内洲页岩矿</w:t>
      </w:r>
      <w:r>
        <w:rPr>
          <w:rFonts w:hint="eastAsia" w:asciiTheme="minorEastAsia" w:hAnsiTheme="minorEastAsia" w:eastAsiaTheme="minorEastAsia" w:cstheme="minorEastAsia"/>
          <w:sz w:val="28"/>
          <w:szCs w:val="28"/>
        </w:rPr>
        <w:t>整合，位于水东江街道办事处花桥村，开采矿种均为砖瓦用页岩，矿体赋存于白垩系下统神皇山组（K</w:t>
      </w:r>
      <w:r>
        <w:rPr>
          <w:rFonts w:hint="eastAsia" w:asciiTheme="minorEastAsia" w:hAnsiTheme="minorEastAsia" w:eastAsiaTheme="minorEastAsia" w:cstheme="minorEastAsia"/>
          <w:sz w:val="28"/>
          <w:szCs w:val="28"/>
          <w:vertAlign w:val="subscript"/>
        </w:rPr>
        <w:t>1s</w:t>
      </w:r>
      <w:r>
        <w:rPr>
          <w:rFonts w:hint="eastAsia" w:asciiTheme="minorEastAsia" w:hAnsiTheme="minorEastAsia" w:eastAsiaTheme="minorEastAsia" w:cstheme="minorEastAsia"/>
          <w:sz w:val="28"/>
          <w:szCs w:val="28"/>
        </w:rPr>
        <w:t>），截至2018年底矿山保有资源储量分别为165.8、130.7万吨，设计生产能力均为30万吨/年，整合后范围由原16个拐点圈定，面积</w:t>
      </w:r>
      <w:r>
        <w:rPr>
          <w:rFonts w:asciiTheme="minorEastAsia" w:hAnsiTheme="minorEastAsia" w:eastAsiaTheme="minorEastAsia" w:cstheme="minorEastAsia"/>
          <w:sz w:val="28"/>
          <w:szCs w:val="28"/>
        </w:rPr>
        <w:t>0.0458</w:t>
      </w:r>
      <w:r>
        <w:rPr>
          <w:rFonts w:hint="eastAsia" w:asciiTheme="minorEastAsia" w:hAnsiTheme="minorEastAsia" w:eastAsiaTheme="minorEastAsia" w:cstheme="minorEastAsia"/>
          <w:sz w:val="28"/>
          <w:szCs w:val="28"/>
        </w:rPr>
        <w:t>平方千米，区内保有资源储量为296.5万吨，设计生产能力均为30万吨/年，区内有乡村公路与县道X023相连，交通方便。区块与G4京港澳高速、重要构筑物相距300米以上，区块内拟设矿山能实现平移式开发。区块与生态保护红线、基本农田保护区平面不重叠。与国家二级公益林部分重叠，建议在调出公益林后再出让。</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耒阳市力英建筑材料有限公司矿与耒阳市鑫红发新型环保砖有限公司矿的砖瓦用页岩矿整合主要表现为资产整合，通过协商耒阳市力英建筑材料有限公司矿保留，耒阳市鑫红发新型环保砖有限公司矿关闭。</w:t>
      </w:r>
    </w:p>
    <w:p>
      <w:pPr>
        <w:adjustRightInd w:val="0"/>
        <w:snapToGrid w:val="0"/>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③</w:t>
      </w:r>
      <w:r>
        <w:rPr>
          <w:rFonts w:hint="eastAsia" w:asciiTheme="minorEastAsia" w:hAnsiTheme="minorEastAsia" w:eastAsiaTheme="minorEastAsia" w:cstheme="minorEastAsia"/>
          <w:sz w:val="28"/>
          <w:szCs w:val="28"/>
        </w:rPr>
        <w:t>耒阳市南京镇江里村建筑石料用灰岩开采规划区块</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CQ003</w:t>
      </w:r>
      <w:r>
        <w:rPr>
          <w:rFonts w:asciiTheme="minorEastAsia" w:hAnsiTheme="minorEastAsia" w:eastAsiaTheme="minorEastAsia" w:cstheme="minorEastAsia"/>
          <w:sz w:val="28"/>
          <w:szCs w:val="28"/>
        </w:rPr>
        <w:t>）</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该区块为整合矿山，为耒阳市枫林寺采石场与南京乡徐氏石料开采场整合，开采矿种均为建筑石料用灰岩，矿体赋存于石炭系系下统岩关阶孟公坳组（C</w:t>
      </w:r>
      <w:r>
        <w:rPr>
          <w:rFonts w:hint="eastAsia" w:asciiTheme="minorEastAsia" w:hAnsiTheme="minorEastAsia" w:eastAsiaTheme="minorEastAsia" w:cstheme="minorEastAsia"/>
          <w:sz w:val="28"/>
          <w:szCs w:val="28"/>
          <w:vertAlign w:val="subscript"/>
        </w:rPr>
        <w:t>1</w:t>
      </w:r>
      <w:r>
        <w:rPr>
          <w:rFonts w:hint="eastAsia" w:asciiTheme="minorEastAsia" w:hAnsiTheme="minorEastAsia" w:eastAsiaTheme="minorEastAsia" w:cstheme="minorEastAsia"/>
          <w:sz w:val="28"/>
          <w:szCs w:val="28"/>
        </w:rPr>
        <w:t>m），截至2018年底矿山保有资源储量分别为181.5、33.8万吨，设计生产能力均为10万吨/年，整合后范围由13个拐点圈定，面积</w:t>
      </w:r>
      <w:r>
        <w:rPr>
          <w:rFonts w:asciiTheme="minorEastAsia" w:hAnsiTheme="minorEastAsia" w:eastAsiaTheme="minorEastAsia" w:cstheme="minorEastAsia"/>
          <w:sz w:val="28"/>
          <w:szCs w:val="28"/>
        </w:rPr>
        <w:t>0.</w:t>
      </w:r>
      <w:r>
        <w:rPr>
          <w:rFonts w:hint="eastAsia" w:asciiTheme="minorEastAsia" w:hAnsiTheme="minorEastAsia" w:eastAsiaTheme="minorEastAsia" w:cstheme="minorEastAsia"/>
          <w:sz w:val="28"/>
          <w:szCs w:val="28"/>
        </w:rPr>
        <w:t>322平方千米，区内保有资源储量为1800万吨，设计生产能力均为100万吨/年，区内有乡村公路与省道S220相连，交通方便。区块与国道、重要构筑物相距300米以上，区块东西两侧距居民区250米，未达到安全距离，建议在取得应急部门许可后再出让，区块内拟设矿山能实现平移式开发。区块与生态保护红线、基本农田保护区平面不重叠，与国家二级公益林部分重叠，建议在调出公益林后再出让。</w:t>
      </w:r>
    </w:p>
    <w:p>
      <w:pPr>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④</w:t>
      </w:r>
      <w:r>
        <w:rPr>
          <w:rFonts w:hint="eastAsia" w:asciiTheme="minorEastAsia" w:hAnsiTheme="minorEastAsia" w:eastAsiaTheme="minorEastAsia" w:cstheme="minorEastAsia"/>
          <w:sz w:val="28"/>
          <w:szCs w:val="28"/>
        </w:rPr>
        <w:t>耒阳市大和圩乡存谷村建筑用玄武岩开采规划区块</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CQ004</w:t>
      </w:r>
      <w:r>
        <w:rPr>
          <w:rFonts w:asciiTheme="minorEastAsia" w:hAnsiTheme="minorEastAsia" w:eastAsiaTheme="minorEastAsia" w:cstheme="minorEastAsia"/>
          <w:sz w:val="28"/>
          <w:szCs w:val="28"/>
        </w:rPr>
        <w:t>）</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该区块为整合矿山，为耒阳市大和圩乡存谷村采石场与耒阳市鑫辉矿业发展有限公司整合，开采矿种均为建筑石料用玄武岩，矿体赋存于</w:t>
      </w:r>
      <w:r>
        <w:rPr>
          <w:rFonts w:hint="eastAsia" w:asciiTheme="minorEastAsia" w:hAnsiTheme="minorEastAsia" w:eastAsiaTheme="minorEastAsia" w:cstheme="minorEastAsia"/>
          <w:sz w:val="28"/>
          <w:szCs w:val="28"/>
          <w:lang w:val="zh-CN"/>
        </w:rPr>
        <w:t>白垩系下统神皇山组内的拉斑玄武岩中</w:t>
      </w:r>
      <w:r>
        <w:rPr>
          <w:rFonts w:hint="eastAsia" w:asciiTheme="minorEastAsia" w:hAnsiTheme="minorEastAsia" w:eastAsiaTheme="minorEastAsia" w:cstheme="minorEastAsia"/>
          <w:sz w:val="28"/>
          <w:szCs w:val="28"/>
        </w:rPr>
        <w:t>（β</w:t>
      </w:r>
      <w:r>
        <w:rPr>
          <w:rFonts w:hint="eastAsia" w:asciiTheme="minorEastAsia" w:hAnsiTheme="minorEastAsia" w:eastAsiaTheme="minorEastAsia" w:cstheme="minorEastAsia"/>
          <w:sz w:val="28"/>
          <w:szCs w:val="28"/>
          <w:vertAlign w:val="subscript"/>
        </w:rPr>
        <w:t>5</w:t>
      </w:r>
      <w:r>
        <w:rPr>
          <w:rFonts w:hint="eastAsia" w:asciiTheme="minorEastAsia" w:hAnsiTheme="minorEastAsia" w:eastAsiaTheme="minorEastAsia" w:cstheme="minorEastAsia"/>
          <w:sz w:val="28"/>
          <w:szCs w:val="28"/>
          <w:vertAlign w:val="superscript"/>
        </w:rPr>
        <w:t>3</w:t>
      </w:r>
      <w:r>
        <w:rPr>
          <w:rFonts w:hint="eastAsia" w:asciiTheme="minorEastAsia" w:hAnsiTheme="minorEastAsia" w:eastAsiaTheme="minorEastAsia" w:cstheme="minorEastAsia"/>
          <w:sz w:val="28"/>
          <w:szCs w:val="28"/>
        </w:rPr>
        <w:t>），截至2018年底矿山保有资源储量分别为52.7、28万吨，设计生产能力分别为10、5万吨/年，整合后范围由24个拐点圈定，面积</w:t>
      </w:r>
      <w:r>
        <w:rPr>
          <w:rFonts w:asciiTheme="minorEastAsia" w:hAnsiTheme="minorEastAsia" w:eastAsiaTheme="minorEastAsia" w:cstheme="minorEastAsia"/>
          <w:sz w:val="28"/>
          <w:szCs w:val="28"/>
        </w:rPr>
        <w:t>0.</w:t>
      </w:r>
      <w:r>
        <w:rPr>
          <w:rFonts w:hint="eastAsia" w:asciiTheme="minorEastAsia" w:hAnsiTheme="minorEastAsia" w:eastAsiaTheme="minorEastAsia" w:cstheme="minorEastAsia"/>
          <w:sz w:val="28"/>
          <w:szCs w:val="28"/>
        </w:rPr>
        <w:t>1247平方千米，区内保有资源储量为540万吨，设计生产能力均为60万吨/年，区内有乡村公路与107国道相连，交通方便。区块内拟设矿山能实现平移式开发。区块与生态保护红线、国家公益林、基本农田保护区平面不重叠，区块与国道、重要构筑物相距300米以上，但矿区东部、南部距民房未达到安全距离（</w:t>
      </w:r>
      <w:r>
        <w:rPr>
          <w:rFonts w:asciiTheme="minorEastAsia" w:hAnsiTheme="minorEastAsia" w:eastAsiaTheme="minorEastAsia" w:cstheme="minorEastAsia"/>
          <w:sz w:val="28"/>
          <w:szCs w:val="28"/>
        </w:rPr>
        <w:t>东</w:t>
      </w:r>
      <w:r>
        <w:rPr>
          <w:rFonts w:hint="eastAsia" w:asciiTheme="minorEastAsia" w:hAnsiTheme="minorEastAsia" w:eastAsiaTheme="minorEastAsia" w:cstheme="minorEastAsia"/>
          <w:sz w:val="28"/>
          <w:szCs w:val="28"/>
        </w:rPr>
        <w:t>距</w:t>
      </w:r>
      <w:r>
        <w:rPr>
          <w:rFonts w:asciiTheme="minorEastAsia" w:hAnsiTheme="minorEastAsia" w:eastAsiaTheme="minorEastAsia" w:cstheme="minorEastAsia"/>
          <w:sz w:val="28"/>
          <w:szCs w:val="28"/>
        </w:rPr>
        <w:t>148米，南</w:t>
      </w:r>
      <w:r>
        <w:rPr>
          <w:rFonts w:hint="eastAsia" w:asciiTheme="minorEastAsia" w:hAnsiTheme="minorEastAsia" w:eastAsiaTheme="minorEastAsia" w:cstheme="minorEastAsia"/>
          <w:sz w:val="28"/>
          <w:szCs w:val="28"/>
        </w:rPr>
        <w:t>距5</w:t>
      </w:r>
      <w:r>
        <w:rPr>
          <w:rFonts w:asciiTheme="minorEastAsia" w:hAnsiTheme="minorEastAsia" w:eastAsiaTheme="minorEastAsia" w:cstheme="minorEastAsia"/>
          <w:sz w:val="28"/>
          <w:szCs w:val="28"/>
        </w:rPr>
        <w:t>1米）</w:t>
      </w:r>
      <w:r>
        <w:rPr>
          <w:rFonts w:hint="eastAsia" w:asciiTheme="minorEastAsia" w:hAnsiTheme="minorEastAsia" w:eastAsiaTheme="minorEastAsia" w:cstheme="minorEastAsia"/>
          <w:sz w:val="28"/>
          <w:szCs w:val="28"/>
        </w:rPr>
        <w:t>，需取得应急部门许可；</w:t>
      </w:r>
      <w:r>
        <w:rPr>
          <w:rFonts w:asciiTheme="minorEastAsia" w:hAnsiTheme="minorEastAsia" w:eastAsiaTheme="minorEastAsia" w:cstheme="minorEastAsia"/>
          <w:sz w:val="28"/>
          <w:szCs w:val="28"/>
        </w:rPr>
        <w:t>距欧阳海支渠</w:t>
      </w:r>
      <w:r>
        <w:rPr>
          <w:rFonts w:hint="eastAsia" w:asciiTheme="minorEastAsia" w:hAnsiTheme="minorEastAsia" w:eastAsiaTheme="minorEastAsia" w:cstheme="minorEastAsia"/>
          <w:sz w:val="28"/>
          <w:szCs w:val="28"/>
        </w:rPr>
        <w:t>1</w:t>
      </w:r>
      <w:r>
        <w:rPr>
          <w:rFonts w:asciiTheme="minorEastAsia" w:hAnsiTheme="minorEastAsia" w:eastAsiaTheme="minorEastAsia" w:cstheme="minorEastAsia"/>
          <w:sz w:val="28"/>
          <w:szCs w:val="28"/>
        </w:rPr>
        <w:t>5米</w:t>
      </w:r>
      <w:r>
        <w:rPr>
          <w:rFonts w:hint="eastAsia" w:asciiTheme="minorEastAsia" w:hAnsiTheme="minorEastAsia" w:eastAsiaTheme="minorEastAsia" w:cstheme="minorEastAsia"/>
          <w:sz w:val="28"/>
          <w:szCs w:val="28"/>
        </w:rPr>
        <w:t>，未达到安全距离，需取得水利部门许可；</w:t>
      </w:r>
      <w:r>
        <w:rPr>
          <w:rFonts w:asciiTheme="minorEastAsia" w:hAnsiTheme="minorEastAsia" w:eastAsiaTheme="minorEastAsia" w:cstheme="minorEastAsia"/>
          <w:sz w:val="28"/>
          <w:szCs w:val="28"/>
        </w:rPr>
        <w:t>矿山距</w:t>
      </w:r>
      <w:r>
        <w:rPr>
          <w:rFonts w:hint="eastAsia" w:asciiTheme="minorEastAsia" w:hAnsiTheme="minorEastAsia" w:eastAsiaTheme="minorEastAsia" w:cstheme="minorEastAsia"/>
          <w:sz w:val="28"/>
          <w:szCs w:val="28"/>
        </w:rPr>
        <w:t>遥田</w:t>
      </w:r>
      <w:r>
        <w:rPr>
          <w:rFonts w:asciiTheme="minorEastAsia" w:hAnsiTheme="minorEastAsia" w:eastAsiaTheme="minorEastAsia" w:cstheme="minorEastAsia"/>
          <w:sz w:val="28"/>
          <w:szCs w:val="28"/>
        </w:rPr>
        <w:t>部队机场铁路504米</w:t>
      </w:r>
      <w:r>
        <w:rPr>
          <w:rFonts w:hint="eastAsia" w:asciiTheme="minorEastAsia" w:hAnsiTheme="minorEastAsia" w:eastAsiaTheme="minorEastAsia" w:cstheme="minorEastAsia"/>
          <w:sz w:val="28"/>
          <w:szCs w:val="28"/>
        </w:rPr>
        <w:t>（见附件）</w:t>
      </w:r>
      <w:r>
        <w:rPr>
          <w:rFonts w:asciiTheme="minorEastAsia" w:hAnsiTheme="minorEastAsia" w:eastAsiaTheme="minorEastAsia" w:cstheme="minorEastAsia"/>
          <w:sz w:val="28"/>
          <w:szCs w:val="28"/>
        </w:rPr>
        <w:t>，</w:t>
      </w:r>
      <w:r>
        <w:rPr>
          <w:rFonts w:hint="eastAsia" w:asciiTheme="minorEastAsia" w:hAnsiTheme="minorEastAsia" w:eastAsiaTheme="minorEastAsia" w:cstheme="minorEastAsia"/>
          <w:sz w:val="28"/>
          <w:szCs w:val="28"/>
        </w:rPr>
        <w:t>未达到安全距离1000</w:t>
      </w:r>
      <w:r>
        <w:rPr>
          <w:rFonts w:asciiTheme="minorEastAsia" w:hAnsiTheme="minorEastAsia" w:eastAsiaTheme="minorEastAsia" w:cstheme="minorEastAsia"/>
          <w:sz w:val="28"/>
          <w:szCs w:val="28"/>
        </w:rPr>
        <w:t>米</w:t>
      </w:r>
      <w:r>
        <w:rPr>
          <w:rFonts w:hint="eastAsia" w:asciiTheme="minorEastAsia" w:hAnsiTheme="minorEastAsia" w:eastAsiaTheme="minorEastAsia" w:cstheme="minorEastAsia"/>
          <w:sz w:val="28"/>
          <w:szCs w:val="28"/>
        </w:rPr>
        <w:t>，该矿须在2021年底之前，取得广铁集团的批复同意，否则</w:t>
      </w:r>
      <w:r>
        <w:rPr>
          <w:rFonts w:hint="eastAsia"/>
          <w:sz w:val="28"/>
          <w:szCs w:val="28"/>
        </w:rPr>
        <w:t>列入</w:t>
      </w:r>
      <w:r>
        <w:rPr>
          <w:rFonts w:hint="eastAsia" w:asciiTheme="minorEastAsia" w:hAnsiTheme="minorEastAsia" w:eastAsiaTheme="minorEastAsia" w:cstheme="minorEastAsia"/>
          <w:sz w:val="28"/>
          <w:szCs w:val="28"/>
        </w:rPr>
        <w:t>限期退出</w:t>
      </w:r>
      <w:r>
        <w:rPr>
          <w:rFonts w:hint="eastAsia"/>
          <w:sz w:val="28"/>
          <w:szCs w:val="28"/>
        </w:rPr>
        <w:t>矿山</w:t>
      </w:r>
      <w:r>
        <w:rPr>
          <w:rFonts w:hint="eastAsia" w:asciiTheme="minorEastAsia" w:hAnsiTheme="minorEastAsia" w:eastAsiaTheme="minorEastAsia" w:cstheme="minorEastAsia"/>
          <w:sz w:val="28"/>
          <w:szCs w:val="28"/>
        </w:rPr>
        <w:t>名单。</w:t>
      </w:r>
    </w:p>
    <w:p>
      <w:pPr>
        <w:spacing w:line="560" w:lineRule="exact"/>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2、已设采矿权调整</w:t>
      </w:r>
    </w:p>
    <w:p>
      <w:pPr>
        <w:ind w:firstLine="560" w:firstLineChars="200"/>
        <w:jc w:val="left"/>
        <w:rPr>
          <w:sz w:val="28"/>
          <w:szCs w:val="28"/>
        </w:rPr>
      </w:pPr>
      <w:r>
        <w:rPr>
          <w:rFonts w:hint="eastAsia"/>
          <w:sz w:val="28"/>
          <w:szCs w:val="28"/>
        </w:rPr>
        <w:t>必须同时满足以下3个条件：</w:t>
      </w:r>
    </w:p>
    <w:p>
      <w:pPr>
        <w:ind w:firstLine="560" w:firstLineChars="200"/>
        <w:jc w:val="left"/>
        <w:rPr>
          <w:sz w:val="28"/>
          <w:szCs w:val="28"/>
        </w:rPr>
      </w:pPr>
      <w:r>
        <w:rPr>
          <w:rFonts w:hint="eastAsia"/>
          <w:sz w:val="28"/>
          <w:szCs w:val="28"/>
        </w:rPr>
        <w:t>——为减少终了边坡；</w:t>
      </w:r>
    </w:p>
    <w:p>
      <w:pPr>
        <w:ind w:firstLine="560" w:firstLineChars="200"/>
        <w:jc w:val="left"/>
        <w:rPr>
          <w:sz w:val="28"/>
          <w:szCs w:val="28"/>
        </w:rPr>
      </w:pPr>
      <w:r>
        <w:rPr>
          <w:rFonts w:hint="eastAsia"/>
          <w:sz w:val="28"/>
          <w:szCs w:val="28"/>
        </w:rPr>
        <w:t>——消除安全生产隐患和地质灾害隐患等情形；</w:t>
      </w:r>
    </w:p>
    <w:p>
      <w:pPr>
        <w:ind w:firstLine="560" w:firstLineChars="200"/>
        <w:jc w:val="left"/>
        <w:rPr>
          <w:sz w:val="28"/>
          <w:szCs w:val="28"/>
        </w:rPr>
      </w:pPr>
      <w:r>
        <w:rPr>
          <w:rFonts w:hint="eastAsia"/>
          <w:sz w:val="28"/>
          <w:szCs w:val="28"/>
        </w:rPr>
        <w:t>——扩界区域与现有矿区范围应属于同一山体等。</w:t>
      </w:r>
    </w:p>
    <w:p>
      <w:pPr>
        <w:adjustRightInd w:val="0"/>
        <w:snapToGrid w:val="0"/>
        <w:spacing w:line="56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本次规划已设采矿权调整17个（见专栏八）。</w:t>
      </w:r>
    </w:p>
    <w:p>
      <w:pPr>
        <w:ind w:firstLine="560" w:firstLineChars="200"/>
        <w:jc w:val="left"/>
        <w:rPr>
          <w:sz w:val="28"/>
          <w:szCs w:val="28"/>
        </w:rPr>
      </w:pPr>
      <w:r>
        <w:rPr>
          <w:rFonts w:hint="eastAsia"/>
          <w:sz w:val="28"/>
          <w:szCs w:val="28"/>
        </w:rPr>
        <w:t>调整区块基本情况如下：</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⑴</w:t>
      </w:r>
      <w:r>
        <w:rPr>
          <w:rFonts w:hint="eastAsia" w:asciiTheme="minorEastAsia" w:hAnsiTheme="minorEastAsia" w:eastAsiaTheme="minorEastAsia" w:cstheme="minorEastAsia"/>
          <w:sz w:val="28"/>
          <w:szCs w:val="28"/>
        </w:rPr>
        <w:t>耒阳市余庆办事处打鼓村建筑石料用灰岩开采规划区块(CQ005)。位于耒阳市余庆街道办事处</w:t>
      </w:r>
      <w:r>
        <w:rPr>
          <w:rFonts w:hint="eastAsia" w:asciiTheme="minorEastAsia" w:hAnsiTheme="minorEastAsia" w:eastAsiaTheme="minorEastAsia" w:cstheme="minorEastAsia"/>
          <w:sz w:val="28"/>
          <w:szCs w:val="28"/>
          <w:lang w:val="zh-CN"/>
        </w:rPr>
        <w:t>打鼓村</w:t>
      </w:r>
      <w:r>
        <w:rPr>
          <w:rFonts w:hint="eastAsia" w:asciiTheme="minorEastAsia" w:hAnsiTheme="minorEastAsia" w:eastAsiaTheme="minorEastAsia" w:cstheme="minorEastAsia"/>
          <w:sz w:val="28"/>
          <w:szCs w:val="28"/>
        </w:rPr>
        <w:t>197°方向直距2.1km处，有乡村公路与</w:t>
      </w:r>
      <w:r>
        <w:rPr>
          <w:rFonts w:hint="eastAsia"/>
          <w:sz w:val="28"/>
          <w:szCs w:val="28"/>
          <w:lang w:eastAsia="zh-CN"/>
        </w:rPr>
        <w:t>国道</w:t>
      </w:r>
      <w:r>
        <w:rPr>
          <w:rFonts w:hint="eastAsia"/>
          <w:sz w:val="28"/>
          <w:szCs w:val="28"/>
          <w:lang w:val="en-US" w:eastAsia="zh-CN"/>
        </w:rPr>
        <w:t>G</w:t>
      </w:r>
      <w:r>
        <w:rPr>
          <w:rFonts w:hint="eastAsia" w:asciiTheme="minorEastAsia" w:hAnsiTheme="minorEastAsia" w:eastAsiaTheme="minorEastAsia" w:cstheme="minorEastAsia"/>
          <w:sz w:val="28"/>
          <w:szCs w:val="28"/>
        </w:rPr>
        <w:t>356相连，交通便利；矿体赋存于泥盆系锡矿山组，可作建筑用石料，矿石质量较优，调整前矿山基本情况：原矿区面积</w:t>
      </w:r>
      <w:r>
        <w:rPr>
          <w:rFonts w:hint="eastAsia" w:asciiTheme="minorEastAsia" w:hAnsiTheme="minorEastAsia" w:eastAsiaTheme="minorEastAsia" w:cstheme="minorEastAsia"/>
          <w:sz w:val="28"/>
          <w:szCs w:val="28"/>
          <w:lang w:val="zh-CN"/>
        </w:rPr>
        <w:t>0.0</w:t>
      </w:r>
      <w:r>
        <w:rPr>
          <w:rFonts w:hint="eastAsia" w:asciiTheme="minorEastAsia" w:hAnsiTheme="minorEastAsia" w:eastAsiaTheme="minorEastAsia" w:cstheme="minorEastAsia"/>
          <w:sz w:val="28"/>
          <w:szCs w:val="28"/>
        </w:rPr>
        <w:t>284km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，原保有资源储量129.5万吨，设计生产规模为30万吨/年。调整后区块基本情况：矿区面积0.1134km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概算资源储量780万吨，设计生产规模为60万吨/年，属小型矿山。原矿区允采范围过小，满足不了开采终了边坡底盘最低要求，存在地质灾害和安全隐患，为消除安全隐患，矿山拟向北东方向扩界，规划区块不在各类保护区、生态红线、基本农田、其它禁止开采区等范围内。</w:t>
      </w:r>
    </w:p>
    <w:p>
      <w:pPr>
        <w:adjustRightInd w:val="0"/>
        <w:snapToGrid w:val="0"/>
        <w:spacing w:line="60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⑵耒阳市东湖圩镇枣子村建筑石料用灰岩开采规划区块(CQ006)。位于耒阳市东湖圩镇枣子村，有乡村公路与省道S214相连，交通便利，矿体赋存于石炭系下统大塘阶梓门桥段，可作建筑用石料，前期已开采利用，矿石质量较优，调整前矿山基本情况：原矿区面积</w:t>
      </w:r>
      <w:r>
        <w:rPr>
          <w:rFonts w:hint="eastAsia" w:asciiTheme="minorEastAsia" w:hAnsiTheme="minorEastAsia" w:eastAsiaTheme="minorEastAsia" w:cstheme="minorEastAsia"/>
          <w:sz w:val="28"/>
          <w:szCs w:val="28"/>
          <w:lang w:val="zh-CN"/>
        </w:rPr>
        <w:t>0.0</w:t>
      </w:r>
      <w:r>
        <w:rPr>
          <w:rFonts w:hint="eastAsia" w:asciiTheme="minorEastAsia" w:hAnsiTheme="minorEastAsia" w:eastAsiaTheme="minorEastAsia" w:cstheme="minorEastAsia"/>
          <w:sz w:val="28"/>
          <w:szCs w:val="28"/>
        </w:rPr>
        <w:t>183km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，保有资源储量50.6万吨，设计生产规模为10万吨/年。在2019年出让储量206.8万吨，设计生产规模为30万吨/年。调整后区块基本情况：矿区面积0.114km</w:t>
      </w:r>
      <w:r>
        <w:rPr>
          <w:rFonts w:hint="eastAsia" w:asciiTheme="minorEastAsia" w:hAnsiTheme="minorEastAsia" w:eastAsiaTheme="minorEastAsia" w:cstheme="minorEastAsia"/>
          <w:sz w:val="28"/>
          <w:szCs w:val="28"/>
          <w:vertAlign w:val="superscript"/>
        </w:rPr>
        <w:t>2</w:t>
      </w:r>
      <w:r>
        <w:rPr>
          <w:rFonts w:hint="eastAsia" w:asciiTheme="minorEastAsia" w:hAnsiTheme="minorEastAsia" w:eastAsiaTheme="minorEastAsia" w:cstheme="minorEastAsia"/>
          <w:sz w:val="28"/>
          <w:szCs w:val="28"/>
        </w:rPr>
        <w:t>，概算资源储量1060万吨，设计生产规模为100万吨/年，属中型矿山。原矿区前期已开采，由于原矿区允采范围偏小，已形成高陡坡，为消除安全隐患，矿山拟向北方向扩界；规划区块不在各类保护区、生态红线、基本农田、其它禁止开采区等范围内。</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⑶</w:t>
      </w:r>
      <w:r>
        <w:rPr>
          <w:rFonts w:hint="eastAsia"/>
          <w:sz w:val="28"/>
          <w:szCs w:val="28"/>
        </w:rPr>
        <w:t>耒阳市东湖圩镇湖塘村建筑石料用灰岩</w:t>
      </w:r>
      <w:r>
        <w:rPr>
          <w:rFonts w:hint="eastAsia" w:asciiTheme="minorEastAsia" w:hAnsiTheme="minorEastAsia" w:eastAsiaTheme="minorEastAsia" w:cstheme="minorEastAsia"/>
          <w:sz w:val="28"/>
          <w:szCs w:val="28"/>
        </w:rPr>
        <w:t>开采规划区块</w:t>
      </w:r>
      <w:r>
        <w:rPr>
          <w:rFonts w:hint="eastAsia"/>
          <w:sz w:val="28"/>
          <w:szCs w:val="28"/>
        </w:rPr>
        <w:t>(</w:t>
      </w:r>
      <w:r>
        <w:rPr>
          <w:rFonts w:hint="eastAsia" w:asciiTheme="minorEastAsia" w:hAnsiTheme="minorEastAsia" w:eastAsiaTheme="minorEastAsia" w:cstheme="minorEastAsia"/>
          <w:sz w:val="28"/>
          <w:szCs w:val="28"/>
        </w:rPr>
        <w:t>CQ007</w:t>
      </w:r>
      <w:r>
        <w:rPr>
          <w:rFonts w:hint="eastAsia"/>
          <w:sz w:val="28"/>
          <w:szCs w:val="28"/>
        </w:rPr>
        <w:t>)。位于</w:t>
      </w:r>
      <w:r>
        <w:rPr>
          <w:rFonts w:hint="eastAsia" w:asciiTheme="minorEastAsia" w:hAnsiTheme="minorEastAsia" w:eastAsiaTheme="minorEastAsia" w:cstheme="minorEastAsia"/>
          <w:sz w:val="28"/>
          <w:szCs w:val="28"/>
        </w:rPr>
        <w:t>耒阳市东湖圩镇湖塘村，有乡村公路与</w:t>
      </w:r>
      <w:r>
        <w:rPr>
          <w:rFonts w:hint="eastAsia"/>
          <w:sz w:val="28"/>
          <w:szCs w:val="28"/>
          <w:lang w:eastAsia="zh-CN"/>
        </w:rPr>
        <w:t>国道</w:t>
      </w:r>
      <w:r>
        <w:rPr>
          <w:rFonts w:hint="eastAsia" w:asciiTheme="minorEastAsia" w:hAnsiTheme="minorEastAsia" w:eastAsiaTheme="minorEastAsia" w:cstheme="minorEastAsia"/>
          <w:sz w:val="28"/>
          <w:szCs w:val="28"/>
          <w:lang w:val="en-US" w:eastAsia="zh-CN"/>
        </w:rPr>
        <w:t>G</w:t>
      </w:r>
      <w:r>
        <w:rPr>
          <w:rFonts w:hint="eastAsia" w:asciiTheme="minorEastAsia" w:hAnsiTheme="minorEastAsia" w:eastAsiaTheme="minorEastAsia" w:cstheme="minorEastAsia"/>
          <w:sz w:val="28"/>
          <w:szCs w:val="28"/>
        </w:rPr>
        <w:t>356相连</w:t>
      </w:r>
      <w:r>
        <w:rPr>
          <w:rFonts w:hint="eastAsia"/>
          <w:sz w:val="28"/>
          <w:szCs w:val="28"/>
        </w:rPr>
        <w:t>，交通便利，</w:t>
      </w:r>
      <w:r>
        <w:rPr>
          <w:rFonts w:hint="eastAsia" w:asciiTheme="minorEastAsia" w:hAnsiTheme="minorEastAsia" w:eastAsiaTheme="minorEastAsia" w:cstheme="minorEastAsia"/>
          <w:sz w:val="28"/>
          <w:szCs w:val="28"/>
        </w:rPr>
        <w:t>矿体赋存于</w:t>
      </w:r>
      <w:r>
        <w:rPr>
          <w:rFonts w:hint="eastAsia"/>
          <w:sz w:val="28"/>
          <w:szCs w:val="28"/>
        </w:rPr>
        <w:t>泥盆系锡矿山组及佘田桥组，可作建筑用石料，前期已开采利用，矿石质量较优，调整前矿山基本情况：原矿区面积</w:t>
      </w:r>
      <w:r>
        <w:rPr>
          <w:rFonts w:hint="eastAsia"/>
          <w:sz w:val="28"/>
          <w:szCs w:val="28"/>
          <w:lang w:val="zh-CN"/>
        </w:rPr>
        <w:t>0.0</w:t>
      </w:r>
      <w:r>
        <w:rPr>
          <w:rFonts w:hint="eastAsia"/>
          <w:sz w:val="28"/>
          <w:szCs w:val="28"/>
        </w:rPr>
        <w:t>12km</w:t>
      </w:r>
      <w:r>
        <w:rPr>
          <w:rFonts w:hint="eastAsia"/>
          <w:sz w:val="28"/>
          <w:szCs w:val="28"/>
          <w:vertAlign w:val="superscript"/>
        </w:rPr>
        <w:t>2</w:t>
      </w:r>
      <w:r>
        <w:rPr>
          <w:rFonts w:hint="eastAsia"/>
          <w:sz w:val="28"/>
          <w:szCs w:val="28"/>
        </w:rPr>
        <w:t>，保有资源储量71.5万吨，</w:t>
      </w:r>
      <w:r>
        <w:rPr>
          <w:rFonts w:hint="eastAsia" w:asciiTheme="minorEastAsia" w:hAnsiTheme="minorEastAsia" w:eastAsiaTheme="minorEastAsia" w:cstheme="minorEastAsia"/>
          <w:sz w:val="28"/>
          <w:szCs w:val="28"/>
        </w:rPr>
        <w:t>设计生产规模为10万吨/年。</w:t>
      </w:r>
      <w:r>
        <w:rPr>
          <w:rFonts w:hint="eastAsia"/>
          <w:sz w:val="28"/>
          <w:szCs w:val="28"/>
        </w:rPr>
        <w:t>调整后区块基本情况：矿区面积积0.</w:t>
      </w:r>
      <w:r>
        <w:rPr>
          <w:rFonts w:hint="eastAsia" w:asciiTheme="minorEastAsia" w:hAnsiTheme="minorEastAsia" w:eastAsiaTheme="minorEastAsia" w:cstheme="minorEastAsia"/>
          <w:sz w:val="28"/>
          <w:szCs w:val="28"/>
        </w:rPr>
        <w:t>182</w:t>
      </w:r>
      <w:r>
        <w:rPr>
          <w:rFonts w:hint="eastAsia"/>
          <w:sz w:val="28"/>
          <w:szCs w:val="28"/>
        </w:rPr>
        <w:t>m</w:t>
      </w:r>
      <w:r>
        <w:rPr>
          <w:rFonts w:hint="eastAsia"/>
          <w:sz w:val="28"/>
          <w:szCs w:val="28"/>
          <w:vertAlign w:val="superscript"/>
        </w:rPr>
        <w:t>2</w:t>
      </w:r>
      <w:r>
        <w:rPr>
          <w:rFonts w:hint="eastAsia"/>
          <w:sz w:val="28"/>
          <w:szCs w:val="28"/>
        </w:rPr>
        <w:t>，概算资源储量1028万吨，</w:t>
      </w:r>
      <w:r>
        <w:rPr>
          <w:rFonts w:hint="eastAsia" w:asciiTheme="minorEastAsia" w:hAnsiTheme="minorEastAsia" w:eastAsiaTheme="minorEastAsia" w:cstheme="minorEastAsia"/>
          <w:sz w:val="28"/>
          <w:szCs w:val="28"/>
        </w:rPr>
        <w:t>设计生产规模为100万吨/年，属中型矿山。原矿区允采范围过小</w:t>
      </w:r>
      <w:r>
        <w:rPr>
          <w:rFonts w:hint="eastAsia" w:cs="宋体"/>
          <w:kern w:val="0"/>
          <w:sz w:val="28"/>
          <w:szCs w:val="28"/>
        </w:rPr>
        <w:t>，</w:t>
      </w:r>
      <w:r>
        <w:rPr>
          <w:rFonts w:hint="eastAsia" w:asciiTheme="minorEastAsia" w:hAnsiTheme="minorEastAsia" w:eastAsiaTheme="minorEastAsia" w:cstheme="minorEastAsia"/>
          <w:sz w:val="28"/>
          <w:szCs w:val="28"/>
        </w:rPr>
        <w:t>满足不了开采终了边坡底盘最低要求，</w:t>
      </w:r>
      <w:r>
        <w:rPr>
          <w:rFonts w:hint="eastAsia" w:cs="宋体"/>
          <w:kern w:val="0"/>
          <w:sz w:val="28"/>
          <w:szCs w:val="28"/>
        </w:rPr>
        <w:t>为消除地质灾害和安全隐患，矿山拟向北西方向扩界；</w:t>
      </w:r>
      <w:r>
        <w:rPr>
          <w:rFonts w:hint="eastAsia"/>
          <w:sz w:val="28"/>
          <w:szCs w:val="28"/>
        </w:rPr>
        <w:t>规划区块不在各类保护区、生态红线、基本农田、其它禁止开采区等范围内。</w:t>
      </w:r>
    </w:p>
    <w:p>
      <w:pPr>
        <w:topLinePunct/>
        <w:spacing w:line="360" w:lineRule="auto"/>
        <w:ind w:firstLine="560" w:firstLineChars="200"/>
        <w:rPr>
          <w:sz w:val="28"/>
          <w:szCs w:val="28"/>
        </w:rPr>
      </w:pPr>
      <w:r>
        <w:rPr>
          <w:rFonts w:hint="eastAsia" w:ascii="宋体" w:hAnsi="宋体" w:cs="宋体"/>
          <w:sz w:val="28"/>
          <w:szCs w:val="28"/>
        </w:rPr>
        <w:t>⑷</w:t>
      </w:r>
      <w:r>
        <w:rPr>
          <w:rFonts w:hint="eastAsia"/>
          <w:sz w:val="28"/>
          <w:szCs w:val="28"/>
        </w:rPr>
        <w:t>耒阳市长坪乡高峰四组建筑石料用灰岩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w:t>
      </w:r>
      <w:r>
        <w:rPr>
          <w:rFonts w:hint="eastAsia" w:asciiTheme="minorEastAsia" w:hAnsiTheme="minorEastAsia" w:eastAsiaTheme="minorEastAsia" w:cstheme="minorEastAsia"/>
          <w:sz w:val="28"/>
          <w:szCs w:val="28"/>
        </w:rPr>
        <w:t>CQ008</w:t>
      </w:r>
      <w:r>
        <w:rPr>
          <w:rFonts w:hint="eastAsia"/>
          <w:sz w:val="28"/>
          <w:szCs w:val="28"/>
        </w:rPr>
        <w:t>)。位于</w:t>
      </w:r>
      <w:r>
        <w:rPr>
          <w:rFonts w:hint="eastAsia" w:asciiTheme="minorEastAsia" w:hAnsiTheme="minorEastAsia" w:eastAsiaTheme="minorEastAsia" w:cstheme="minorEastAsia"/>
          <w:sz w:val="28"/>
          <w:szCs w:val="28"/>
        </w:rPr>
        <w:t>耒阳市长坪乡高峰村位于</w:t>
      </w:r>
      <w:r>
        <w:rPr>
          <w:rFonts w:hint="eastAsia" w:asciiTheme="minorEastAsia" w:hAnsiTheme="minorEastAsia" w:eastAsiaTheme="minorEastAsia" w:cstheme="minorEastAsia"/>
          <w:sz w:val="28"/>
          <w:szCs w:val="28"/>
          <w:lang w:val="zh-CN"/>
        </w:rPr>
        <w:t>耒阳市南西210°方</w:t>
      </w:r>
      <w:r>
        <w:rPr>
          <w:rFonts w:hint="eastAsia" w:asciiTheme="minorEastAsia" w:hAnsiTheme="minorEastAsia" w:eastAsiaTheme="minorEastAsia" w:cstheme="minorEastAsia"/>
          <w:sz w:val="28"/>
          <w:szCs w:val="28"/>
        </w:rPr>
        <w:t>向，</w:t>
      </w:r>
      <w:r>
        <w:rPr>
          <w:rFonts w:hint="eastAsia"/>
          <w:sz w:val="28"/>
          <w:szCs w:val="28"/>
        </w:rPr>
        <w:t>有乡村公路与省道S220相连，交通便利，</w:t>
      </w:r>
      <w:r>
        <w:rPr>
          <w:rFonts w:hint="eastAsia" w:asciiTheme="minorEastAsia" w:hAnsiTheme="minorEastAsia" w:eastAsiaTheme="minorEastAsia" w:cstheme="minorEastAsia"/>
          <w:sz w:val="28"/>
          <w:szCs w:val="28"/>
        </w:rPr>
        <w:t>矿体赋存于</w:t>
      </w:r>
      <w:r>
        <w:rPr>
          <w:rFonts w:hint="eastAsia"/>
          <w:sz w:val="28"/>
          <w:szCs w:val="28"/>
        </w:rPr>
        <w:t>石炭系中上统壶天群；石炭系下统大唐阶石磴子段，可作建筑用石料，矿石质量较优，调整前矿山基本情况：原矿区面积</w:t>
      </w:r>
      <w:r>
        <w:rPr>
          <w:rFonts w:hint="eastAsia"/>
          <w:sz w:val="28"/>
          <w:szCs w:val="28"/>
          <w:lang w:val="zh-CN"/>
        </w:rPr>
        <w:t>0.0</w:t>
      </w:r>
      <w:r>
        <w:rPr>
          <w:rFonts w:hint="eastAsia"/>
          <w:sz w:val="28"/>
          <w:szCs w:val="28"/>
        </w:rPr>
        <w:t>55km</w:t>
      </w:r>
      <w:r>
        <w:rPr>
          <w:rFonts w:hint="eastAsia"/>
          <w:sz w:val="28"/>
          <w:szCs w:val="28"/>
          <w:vertAlign w:val="superscript"/>
        </w:rPr>
        <w:t>2</w:t>
      </w:r>
      <w:r>
        <w:rPr>
          <w:rFonts w:hint="eastAsia"/>
          <w:sz w:val="28"/>
          <w:szCs w:val="28"/>
        </w:rPr>
        <w:t>，保有资源储量348.9万吨，</w:t>
      </w:r>
      <w:r>
        <w:rPr>
          <w:rFonts w:hint="eastAsia" w:asciiTheme="minorEastAsia" w:hAnsiTheme="minorEastAsia" w:eastAsiaTheme="minorEastAsia" w:cstheme="minorEastAsia"/>
          <w:sz w:val="28"/>
          <w:szCs w:val="28"/>
        </w:rPr>
        <w:t>设计生产规模为20万吨/年。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0.2338</w:t>
      </w:r>
      <w:r>
        <w:rPr>
          <w:rFonts w:hint="eastAsia"/>
          <w:sz w:val="28"/>
          <w:szCs w:val="28"/>
        </w:rPr>
        <w:t>km</w:t>
      </w:r>
      <w:r>
        <w:rPr>
          <w:rFonts w:hint="eastAsia"/>
          <w:sz w:val="28"/>
          <w:szCs w:val="28"/>
          <w:vertAlign w:val="superscript"/>
        </w:rPr>
        <w:t>2</w:t>
      </w:r>
      <w:r>
        <w:rPr>
          <w:rFonts w:hint="eastAsia"/>
          <w:sz w:val="28"/>
          <w:szCs w:val="28"/>
        </w:rPr>
        <w:t>，概算资源储量2800万吨，</w:t>
      </w:r>
      <w:r>
        <w:rPr>
          <w:rFonts w:hint="eastAsia" w:asciiTheme="minorEastAsia" w:hAnsiTheme="minorEastAsia" w:eastAsiaTheme="minorEastAsia" w:cstheme="minorEastAsia"/>
          <w:sz w:val="28"/>
          <w:szCs w:val="28"/>
        </w:rPr>
        <w:t>设计生产规模为100万吨/年，属中型矿山。原矿在筹建中，由于达不到现矿规准入条件，</w:t>
      </w:r>
      <w:r>
        <w:rPr>
          <w:rFonts w:hint="eastAsia" w:cs="宋体"/>
          <w:kern w:val="0"/>
          <w:sz w:val="28"/>
          <w:szCs w:val="28"/>
        </w:rPr>
        <w:t>矿山拟向北东西方向扩界；</w:t>
      </w:r>
      <w:r>
        <w:rPr>
          <w:rFonts w:hint="eastAsia"/>
          <w:sz w:val="28"/>
          <w:szCs w:val="28"/>
        </w:rPr>
        <w:t>规划区块不在各类保护区、生态红线、基本农田、其它禁止开采区等范围内。</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⑸</w:t>
      </w:r>
      <w:r>
        <w:rPr>
          <w:rFonts w:hint="eastAsia"/>
          <w:sz w:val="28"/>
          <w:szCs w:val="28"/>
        </w:rPr>
        <w:t>耒阳市小水镇杨塘村建筑石料用灰岩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w:t>
      </w:r>
      <w:r>
        <w:rPr>
          <w:rFonts w:hint="eastAsia" w:asciiTheme="minorEastAsia" w:hAnsiTheme="minorEastAsia" w:eastAsiaTheme="minorEastAsia" w:cstheme="minorEastAsia"/>
          <w:sz w:val="28"/>
          <w:szCs w:val="28"/>
        </w:rPr>
        <w:t>CQ009）</w:t>
      </w:r>
      <w:r>
        <w:rPr>
          <w:rFonts w:hint="eastAsia"/>
          <w:sz w:val="28"/>
          <w:szCs w:val="28"/>
        </w:rPr>
        <w:t>。位于</w:t>
      </w:r>
      <w:r>
        <w:rPr>
          <w:rFonts w:hint="eastAsia" w:asciiTheme="minorEastAsia" w:hAnsiTheme="minorEastAsia" w:eastAsiaTheme="minorEastAsia" w:cstheme="minorEastAsia"/>
          <w:sz w:val="28"/>
          <w:szCs w:val="28"/>
        </w:rPr>
        <w:t>耒阳市小水镇杨塘村</w:t>
      </w:r>
      <w:r>
        <w:rPr>
          <w:rFonts w:hint="eastAsia" w:asciiTheme="minorEastAsia" w:hAnsiTheme="minorEastAsia" w:eastAsiaTheme="minorEastAsia" w:cstheme="minorEastAsia"/>
          <w:sz w:val="28"/>
          <w:szCs w:val="28"/>
          <w:lang w:val="zh-CN"/>
        </w:rPr>
        <w:t>南</w:t>
      </w:r>
      <w:r>
        <w:rPr>
          <w:rFonts w:hint="eastAsia" w:asciiTheme="minorEastAsia" w:hAnsiTheme="minorEastAsia" w:eastAsiaTheme="minorEastAsia" w:cstheme="minorEastAsia"/>
          <w:sz w:val="28"/>
          <w:szCs w:val="28"/>
        </w:rPr>
        <w:t>西211</w:t>
      </w:r>
      <w:r>
        <w:rPr>
          <w:rFonts w:hint="eastAsia" w:asciiTheme="minorEastAsia" w:hAnsiTheme="minorEastAsia" w:eastAsiaTheme="minorEastAsia" w:cstheme="minorEastAsia"/>
          <w:sz w:val="28"/>
          <w:szCs w:val="28"/>
          <w:lang w:val="zh-CN"/>
        </w:rPr>
        <w:t>°方向，</w:t>
      </w:r>
      <w:r>
        <w:rPr>
          <w:rFonts w:hint="eastAsia" w:asciiTheme="minorEastAsia" w:hAnsiTheme="minorEastAsia" w:eastAsiaTheme="minorEastAsia" w:cstheme="minorEastAsia"/>
          <w:sz w:val="28"/>
          <w:szCs w:val="28"/>
        </w:rPr>
        <w:t>有乡村公路与国道G107相连</w:t>
      </w:r>
      <w:r>
        <w:rPr>
          <w:rFonts w:hint="eastAsia"/>
          <w:sz w:val="28"/>
          <w:szCs w:val="28"/>
        </w:rPr>
        <w:t>，交通便利，</w:t>
      </w:r>
      <w:r>
        <w:rPr>
          <w:rFonts w:hint="eastAsia" w:asciiTheme="minorEastAsia" w:hAnsiTheme="minorEastAsia" w:eastAsiaTheme="minorEastAsia" w:cstheme="minorEastAsia"/>
          <w:sz w:val="28"/>
          <w:szCs w:val="28"/>
        </w:rPr>
        <w:t>矿体赋存于</w:t>
      </w:r>
      <w:r>
        <w:rPr>
          <w:rFonts w:hint="eastAsia"/>
          <w:sz w:val="28"/>
          <w:szCs w:val="28"/>
        </w:rPr>
        <w:t>泥盆系中统棋子桥组，可作建筑用石料，矿石质量较优，调整前矿山基本情况：原矿区面积</w:t>
      </w:r>
      <w:r>
        <w:rPr>
          <w:rFonts w:hint="eastAsia" w:asciiTheme="minorEastAsia" w:hAnsiTheme="minorEastAsia" w:eastAsiaTheme="minorEastAsia" w:cstheme="minorEastAsia"/>
          <w:sz w:val="28"/>
          <w:szCs w:val="28"/>
          <w:lang w:val="zh-CN"/>
        </w:rPr>
        <w:t>0</w:t>
      </w:r>
      <w:r>
        <w:rPr>
          <w:rFonts w:hint="eastAsia"/>
          <w:sz w:val="28"/>
          <w:szCs w:val="28"/>
          <w:lang w:val="zh-CN"/>
        </w:rPr>
        <w:t>.0</w:t>
      </w:r>
      <w:r>
        <w:rPr>
          <w:rFonts w:hint="eastAsia"/>
          <w:sz w:val="28"/>
          <w:szCs w:val="28"/>
        </w:rPr>
        <w:t>157km</w:t>
      </w:r>
      <w:r>
        <w:rPr>
          <w:rFonts w:hint="eastAsia"/>
          <w:sz w:val="28"/>
          <w:szCs w:val="28"/>
          <w:vertAlign w:val="superscript"/>
        </w:rPr>
        <w:t>2</w:t>
      </w:r>
      <w:r>
        <w:rPr>
          <w:rFonts w:hint="eastAsia"/>
          <w:sz w:val="28"/>
          <w:szCs w:val="28"/>
        </w:rPr>
        <w:t>，保有资源储量101.8万吨，</w:t>
      </w:r>
      <w:r>
        <w:rPr>
          <w:rFonts w:hint="eastAsia" w:asciiTheme="minorEastAsia" w:hAnsiTheme="minorEastAsia" w:eastAsiaTheme="minorEastAsia" w:cstheme="minorEastAsia"/>
          <w:sz w:val="28"/>
          <w:szCs w:val="28"/>
        </w:rPr>
        <w:t>设计生产规模为10万吨/年。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0.048</w:t>
      </w:r>
      <w:r>
        <w:rPr>
          <w:rFonts w:hint="eastAsia"/>
          <w:sz w:val="28"/>
          <w:szCs w:val="28"/>
        </w:rPr>
        <w:t>km</w:t>
      </w:r>
      <w:r>
        <w:rPr>
          <w:rFonts w:hint="eastAsia"/>
          <w:sz w:val="28"/>
          <w:szCs w:val="28"/>
          <w:vertAlign w:val="superscript"/>
        </w:rPr>
        <w:t>2</w:t>
      </w:r>
      <w:r>
        <w:rPr>
          <w:rFonts w:hint="eastAsia"/>
          <w:sz w:val="28"/>
          <w:szCs w:val="28"/>
        </w:rPr>
        <w:t>，概算资源储量330万吨，设计生产规模为30万吨/年，属小型矿山。原矿区允采范围过小，满足不了开采终了边坡底盘最低要求，为消除地质灾害和安全隐患，矿山拟向南方向扩界；规划区块不在各类保护区、生态红线、基本农田、其它禁止开采区等范围内。</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⑹</w:t>
      </w:r>
      <w:r>
        <w:rPr>
          <w:rFonts w:hint="eastAsia"/>
          <w:sz w:val="28"/>
          <w:szCs w:val="28"/>
        </w:rPr>
        <w:t>耒阳市余庆街道办事处同仁村建筑石料用灰岩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w:t>
      </w:r>
      <w:r>
        <w:rPr>
          <w:rFonts w:hint="eastAsia" w:asciiTheme="minorEastAsia" w:hAnsiTheme="minorEastAsia" w:eastAsiaTheme="minorEastAsia" w:cstheme="minorEastAsia"/>
          <w:sz w:val="28"/>
          <w:szCs w:val="28"/>
        </w:rPr>
        <w:t>CQ010</w:t>
      </w:r>
      <w:r>
        <w:rPr>
          <w:rFonts w:hint="eastAsia"/>
          <w:sz w:val="28"/>
          <w:szCs w:val="28"/>
        </w:rPr>
        <w:t>)。位于</w:t>
      </w:r>
      <w:r>
        <w:rPr>
          <w:rFonts w:hint="eastAsia" w:ascii="宋体" w:hAnsi="宋体" w:cs="宋体"/>
          <w:sz w:val="28"/>
          <w:szCs w:val="28"/>
        </w:rPr>
        <w:t>余庆街道办事处同仁村，</w:t>
      </w:r>
      <w:r>
        <w:rPr>
          <w:rFonts w:hint="eastAsia" w:asciiTheme="minorEastAsia" w:hAnsiTheme="minorEastAsia" w:eastAsiaTheme="minorEastAsia" w:cstheme="minorEastAsia"/>
          <w:sz w:val="28"/>
          <w:szCs w:val="28"/>
        </w:rPr>
        <w:t>有乡村公路与国道G107相连</w:t>
      </w:r>
      <w:r>
        <w:rPr>
          <w:rFonts w:hint="eastAsia"/>
          <w:sz w:val="28"/>
          <w:szCs w:val="28"/>
        </w:rPr>
        <w:t>，交通便利，</w:t>
      </w:r>
      <w:r>
        <w:rPr>
          <w:rFonts w:hint="eastAsia" w:asciiTheme="minorEastAsia" w:hAnsiTheme="minorEastAsia" w:eastAsiaTheme="minorEastAsia" w:cstheme="minorEastAsia"/>
          <w:sz w:val="28"/>
          <w:szCs w:val="28"/>
        </w:rPr>
        <w:t>矿体赋存于</w:t>
      </w:r>
      <w:r>
        <w:rPr>
          <w:rFonts w:hint="eastAsia"/>
          <w:sz w:val="28"/>
          <w:szCs w:val="28"/>
        </w:rPr>
        <w:t>泥盆系上统锡矿山组灰岩段及泥盆系中统棋子桥组，可作建筑用石料，前期已有开采利用，矿石质量较优，调整前矿山基本情况：原矿区面积</w:t>
      </w:r>
      <w:r>
        <w:rPr>
          <w:rFonts w:hint="eastAsia"/>
          <w:sz w:val="28"/>
          <w:szCs w:val="28"/>
          <w:lang w:val="zh-CN"/>
        </w:rPr>
        <w:t>0.0</w:t>
      </w:r>
      <w:r>
        <w:rPr>
          <w:rFonts w:hint="eastAsia"/>
          <w:sz w:val="28"/>
          <w:szCs w:val="28"/>
        </w:rPr>
        <w:t>101km</w:t>
      </w:r>
      <w:r>
        <w:rPr>
          <w:rFonts w:hint="eastAsia"/>
          <w:sz w:val="28"/>
          <w:szCs w:val="28"/>
          <w:vertAlign w:val="superscript"/>
        </w:rPr>
        <w:t>2</w:t>
      </w:r>
      <w:r>
        <w:rPr>
          <w:rFonts w:hint="eastAsia"/>
          <w:sz w:val="28"/>
          <w:szCs w:val="28"/>
        </w:rPr>
        <w:t>，保有资源储量30.5万吨，</w:t>
      </w:r>
      <w:r>
        <w:rPr>
          <w:rFonts w:hint="eastAsia" w:asciiTheme="minorEastAsia" w:hAnsiTheme="minorEastAsia" w:eastAsiaTheme="minorEastAsia" w:cstheme="minorEastAsia"/>
          <w:sz w:val="28"/>
          <w:szCs w:val="28"/>
        </w:rPr>
        <w:t>设计生产规模为10万吨/年。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0.1761</w:t>
      </w:r>
      <w:r>
        <w:rPr>
          <w:rFonts w:hint="eastAsia"/>
          <w:sz w:val="28"/>
          <w:szCs w:val="28"/>
        </w:rPr>
        <w:t>km</w:t>
      </w:r>
      <w:r>
        <w:rPr>
          <w:rFonts w:hint="eastAsia"/>
          <w:sz w:val="28"/>
          <w:szCs w:val="28"/>
          <w:vertAlign w:val="superscript"/>
        </w:rPr>
        <w:t>2</w:t>
      </w:r>
      <w:r>
        <w:rPr>
          <w:rFonts w:hint="eastAsia"/>
          <w:sz w:val="28"/>
          <w:szCs w:val="28"/>
        </w:rPr>
        <w:t>，概算资源储量1220万吨，</w:t>
      </w:r>
      <w:r>
        <w:rPr>
          <w:rFonts w:hint="eastAsia" w:asciiTheme="minorEastAsia" w:hAnsiTheme="minorEastAsia" w:eastAsiaTheme="minorEastAsia" w:cstheme="minorEastAsia"/>
          <w:sz w:val="28"/>
          <w:szCs w:val="28"/>
        </w:rPr>
        <w:t>设计生产规模为100万吨/年，属中型矿山。</w:t>
      </w:r>
      <w:r>
        <w:rPr>
          <w:rFonts w:hint="eastAsia" w:cs="宋体"/>
          <w:kern w:val="0"/>
          <w:sz w:val="28"/>
          <w:szCs w:val="28"/>
        </w:rPr>
        <w:t>原</w:t>
      </w:r>
      <w:r>
        <w:rPr>
          <w:rFonts w:hint="eastAsia" w:asciiTheme="minorEastAsia" w:hAnsiTheme="minorEastAsia" w:eastAsiaTheme="minorEastAsia" w:cstheme="minorEastAsia"/>
          <w:sz w:val="28"/>
          <w:szCs w:val="28"/>
        </w:rPr>
        <w:t>矿区与京广高速铁路安全距离达不到，故退出往西南方向扩</w:t>
      </w:r>
      <w:r>
        <w:rPr>
          <w:rFonts w:hint="eastAsia" w:cs="宋体"/>
          <w:kern w:val="0"/>
          <w:sz w:val="28"/>
          <w:szCs w:val="28"/>
        </w:rPr>
        <w:t>界；</w:t>
      </w:r>
      <w:r>
        <w:rPr>
          <w:rFonts w:hint="eastAsia"/>
          <w:sz w:val="28"/>
          <w:szCs w:val="28"/>
        </w:rPr>
        <w:t>规划区块不在各类保护区、生态红线、基本农田、其它禁止开采区等范围内，规划区块南部与村庄安全距离达不到，</w:t>
      </w:r>
      <w:r>
        <w:rPr>
          <w:rFonts w:hint="eastAsia" w:asciiTheme="minorEastAsia" w:hAnsiTheme="minorEastAsia" w:eastAsiaTheme="minorEastAsia" w:cstheme="minorEastAsia"/>
          <w:sz w:val="28"/>
          <w:szCs w:val="28"/>
        </w:rPr>
        <w:t>建议在应急管理部门许可后方可出让</w:t>
      </w:r>
      <w:r>
        <w:rPr>
          <w:rFonts w:hint="eastAsia"/>
          <w:sz w:val="28"/>
          <w:szCs w:val="28"/>
        </w:rPr>
        <w:t>。</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⑺</w:t>
      </w:r>
      <w:r>
        <w:rPr>
          <w:rFonts w:hint="eastAsia"/>
          <w:sz w:val="28"/>
          <w:szCs w:val="28"/>
        </w:rPr>
        <w:t>耒阳市余庆街道办事处西冲村6组建筑石料用灰岩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w:t>
      </w:r>
      <w:r>
        <w:rPr>
          <w:rFonts w:hint="eastAsia" w:asciiTheme="minorEastAsia" w:hAnsiTheme="minorEastAsia" w:eastAsiaTheme="minorEastAsia" w:cstheme="minorEastAsia"/>
          <w:sz w:val="28"/>
          <w:szCs w:val="28"/>
        </w:rPr>
        <w:t>CQ011</w:t>
      </w:r>
      <w:r>
        <w:rPr>
          <w:rFonts w:hint="eastAsia"/>
          <w:sz w:val="28"/>
          <w:szCs w:val="28"/>
        </w:rPr>
        <w:t>)。位于</w:t>
      </w:r>
      <w:r>
        <w:rPr>
          <w:rFonts w:hint="eastAsia" w:ascii="宋体" w:hAnsi="宋体" w:cs="宋体"/>
          <w:sz w:val="28"/>
          <w:szCs w:val="28"/>
        </w:rPr>
        <w:t>余庆街道办事处西冲村</w:t>
      </w:r>
      <w:r>
        <w:rPr>
          <w:rFonts w:hint="eastAsia" w:asciiTheme="minorEastAsia" w:hAnsiTheme="minorEastAsia" w:eastAsiaTheme="minorEastAsia" w:cstheme="minorEastAsia"/>
          <w:sz w:val="28"/>
          <w:szCs w:val="28"/>
        </w:rPr>
        <w:t>，</w:t>
      </w:r>
      <w:r>
        <w:rPr>
          <w:rFonts w:hint="eastAsia"/>
          <w:sz w:val="28"/>
          <w:szCs w:val="28"/>
        </w:rPr>
        <w:t>有乡村公路与县道X029相连，交通便利，</w:t>
      </w:r>
      <w:r>
        <w:rPr>
          <w:rFonts w:hint="eastAsia" w:asciiTheme="minorEastAsia" w:hAnsiTheme="minorEastAsia" w:eastAsiaTheme="minorEastAsia" w:cstheme="minorEastAsia"/>
          <w:sz w:val="28"/>
          <w:szCs w:val="28"/>
        </w:rPr>
        <w:t>矿体赋存于</w:t>
      </w:r>
      <w:r>
        <w:rPr>
          <w:rFonts w:hint="eastAsia"/>
          <w:sz w:val="28"/>
          <w:szCs w:val="28"/>
        </w:rPr>
        <w:t>泥盆系锡矿山组及石炭系中上统壶天群，可作建筑用石料，矿石质量较优，调整前矿山基本情况：原矿区面积</w:t>
      </w:r>
      <w:r>
        <w:rPr>
          <w:rFonts w:hint="eastAsia"/>
          <w:sz w:val="28"/>
          <w:szCs w:val="28"/>
          <w:lang w:val="zh-CN"/>
        </w:rPr>
        <w:t>0.0</w:t>
      </w:r>
      <w:r>
        <w:rPr>
          <w:rFonts w:hint="eastAsia"/>
          <w:sz w:val="28"/>
          <w:szCs w:val="28"/>
        </w:rPr>
        <w:t>811km</w:t>
      </w:r>
      <w:r>
        <w:rPr>
          <w:rFonts w:hint="eastAsia"/>
          <w:sz w:val="28"/>
          <w:szCs w:val="28"/>
          <w:vertAlign w:val="superscript"/>
        </w:rPr>
        <w:t>2</w:t>
      </w:r>
      <w:r>
        <w:rPr>
          <w:rFonts w:hint="eastAsia"/>
          <w:sz w:val="28"/>
          <w:szCs w:val="28"/>
        </w:rPr>
        <w:t>，保有资源储量349.1万吨，</w:t>
      </w:r>
      <w:r>
        <w:rPr>
          <w:rFonts w:hint="eastAsia" w:asciiTheme="minorEastAsia" w:hAnsiTheme="minorEastAsia" w:eastAsiaTheme="minorEastAsia" w:cstheme="minorEastAsia"/>
          <w:sz w:val="28"/>
          <w:szCs w:val="28"/>
        </w:rPr>
        <w:t>设计生产规模为30万吨/年。</w:t>
      </w:r>
      <w:r>
        <w:rPr>
          <w:rFonts w:hint="eastAsia"/>
          <w:sz w:val="28"/>
          <w:szCs w:val="28"/>
        </w:rPr>
        <w:t>调整后区块基本情况：矿区面</w:t>
      </w:r>
      <w:r>
        <w:rPr>
          <w:rFonts w:hint="eastAsia"/>
          <w:color w:val="FF0000"/>
          <w:sz w:val="28"/>
          <w:szCs w:val="28"/>
        </w:rPr>
        <w:t>积</w:t>
      </w:r>
      <w:r>
        <w:rPr>
          <w:rFonts w:hint="eastAsia" w:asciiTheme="minorEastAsia" w:hAnsiTheme="minorEastAsia" w:eastAsiaTheme="minorEastAsia" w:cstheme="minorEastAsia"/>
          <w:color w:val="FF0000"/>
          <w:sz w:val="28"/>
          <w:szCs w:val="28"/>
        </w:rPr>
        <w:t>0.1203</w:t>
      </w:r>
      <w:r>
        <w:rPr>
          <w:rFonts w:hint="eastAsia"/>
          <w:sz w:val="28"/>
          <w:szCs w:val="28"/>
        </w:rPr>
        <w:t>km</w:t>
      </w:r>
      <w:r>
        <w:rPr>
          <w:rFonts w:hint="eastAsia"/>
          <w:sz w:val="28"/>
          <w:szCs w:val="28"/>
          <w:vertAlign w:val="superscript"/>
        </w:rPr>
        <w:t>2</w:t>
      </w:r>
      <w:r>
        <w:rPr>
          <w:rFonts w:hint="eastAsia"/>
          <w:sz w:val="28"/>
          <w:szCs w:val="28"/>
        </w:rPr>
        <w:t>，概算资源储量1230万吨，</w:t>
      </w:r>
      <w:r>
        <w:rPr>
          <w:rFonts w:hint="eastAsia" w:asciiTheme="minorEastAsia" w:hAnsiTheme="minorEastAsia" w:eastAsiaTheme="minorEastAsia" w:cstheme="minorEastAsia"/>
          <w:sz w:val="28"/>
          <w:szCs w:val="28"/>
        </w:rPr>
        <w:t>设计生产规模为100万吨/年，属中型矿山。原矿在筹建中，由于达不到矿规准入条件，经探矿，北部第四系达10米之厚，南部矿体覆盖较浅，本次规划</w:t>
      </w:r>
      <w:r>
        <w:rPr>
          <w:rFonts w:hint="eastAsia" w:cs="宋体"/>
          <w:kern w:val="0"/>
          <w:sz w:val="28"/>
          <w:szCs w:val="28"/>
        </w:rPr>
        <w:t>拟向南扩界；</w:t>
      </w:r>
      <w:r>
        <w:rPr>
          <w:rFonts w:hint="eastAsia"/>
          <w:sz w:val="28"/>
          <w:szCs w:val="28"/>
        </w:rPr>
        <w:t>规划区块不在各类保护区、基本农田、其它禁止开采区等范围内。规划区部分与国家二级公益林重叠，建议在调出公益林后再出让；规划区部分与生态红线重叠，在调出生态红线后再出让</w:t>
      </w:r>
      <w:r>
        <w:rPr>
          <w:rFonts w:hint="eastAsia" w:asciiTheme="minorEastAsia" w:hAnsiTheme="minorEastAsia" w:eastAsiaTheme="minorEastAsia" w:cstheme="minorEastAsia"/>
          <w:sz w:val="28"/>
          <w:szCs w:val="28"/>
        </w:rPr>
        <w:t>。</w:t>
      </w:r>
    </w:p>
    <w:p>
      <w:pPr>
        <w:topLinePunct/>
        <w:spacing w:line="360" w:lineRule="auto"/>
        <w:ind w:firstLine="560" w:firstLineChars="200"/>
        <w:rPr>
          <w:rFonts w:asciiTheme="minorEastAsia" w:hAnsiTheme="minorEastAsia" w:eastAsiaTheme="minorEastAsia" w:cstheme="minorEastAsia"/>
          <w:sz w:val="28"/>
          <w:szCs w:val="28"/>
        </w:rPr>
      </w:pPr>
      <w:r>
        <w:rPr>
          <w:rFonts w:hint="eastAsia"/>
          <w:sz w:val="28"/>
          <w:szCs w:val="28"/>
        </w:rPr>
        <w:t>⑻耒阳市余庆街道办事处南桥村建筑石料用灰岩</w:t>
      </w:r>
      <w:r>
        <w:rPr>
          <w:rFonts w:hint="eastAsia" w:asciiTheme="minorEastAsia" w:hAnsiTheme="minorEastAsia" w:eastAsiaTheme="minorEastAsia" w:cstheme="minorEastAsia"/>
          <w:sz w:val="28"/>
          <w:szCs w:val="28"/>
        </w:rPr>
        <w:t>开采规划区块</w:t>
      </w:r>
      <w:r>
        <w:rPr>
          <w:rFonts w:hint="eastAsia"/>
          <w:sz w:val="28"/>
          <w:szCs w:val="28"/>
        </w:rPr>
        <w:t xml:space="preserve"> (</w:t>
      </w:r>
      <w:r>
        <w:rPr>
          <w:rFonts w:hint="eastAsia" w:asciiTheme="minorEastAsia" w:hAnsiTheme="minorEastAsia" w:eastAsiaTheme="minorEastAsia" w:cstheme="minorEastAsia"/>
          <w:sz w:val="28"/>
          <w:szCs w:val="28"/>
        </w:rPr>
        <w:t>CQ013</w:t>
      </w:r>
      <w:r>
        <w:rPr>
          <w:rFonts w:hint="eastAsia"/>
          <w:sz w:val="28"/>
          <w:szCs w:val="28"/>
        </w:rPr>
        <w:t>)。位于</w:t>
      </w:r>
      <w:r>
        <w:rPr>
          <w:rFonts w:hint="eastAsia" w:asciiTheme="minorEastAsia" w:hAnsiTheme="minorEastAsia" w:eastAsiaTheme="minorEastAsia" w:cstheme="minorEastAsia"/>
          <w:sz w:val="28"/>
          <w:szCs w:val="28"/>
        </w:rPr>
        <w:t>余</w:t>
      </w:r>
      <w:r>
        <w:rPr>
          <w:rFonts w:hint="eastAsia"/>
          <w:sz w:val="28"/>
          <w:szCs w:val="28"/>
        </w:rPr>
        <w:t>庆街道办事处南桥村南西229°方向，</w:t>
      </w:r>
      <w:r>
        <w:rPr>
          <w:rFonts w:hint="eastAsia" w:asciiTheme="minorEastAsia" w:hAnsiTheme="minorEastAsia" w:eastAsiaTheme="minorEastAsia" w:cstheme="minorEastAsia"/>
          <w:sz w:val="28"/>
          <w:szCs w:val="28"/>
        </w:rPr>
        <w:t>有乡村公路与</w:t>
      </w:r>
      <w:r>
        <w:rPr>
          <w:rFonts w:hint="eastAsia" w:asciiTheme="minorEastAsia" w:hAnsiTheme="minorEastAsia" w:eastAsiaTheme="minorEastAsia" w:cstheme="minorEastAsia"/>
          <w:sz w:val="28"/>
          <w:szCs w:val="28"/>
          <w:lang w:eastAsia="zh-CN"/>
        </w:rPr>
        <w:t>国道G356</w:t>
      </w:r>
      <w:r>
        <w:rPr>
          <w:rFonts w:hint="eastAsia" w:asciiTheme="minorEastAsia" w:hAnsiTheme="minorEastAsia" w:eastAsiaTheme="minorEastAsia" w:cstheme="minorEastAsia"/>
          <w:sz w:val="28"/>
          <w:szCs w:val="28"/>
        </w:rPr>
        <w:t>相连</w:t>
      </w:r>
      <w:r>
        <w:rPr>
          <w:rFonts w:hint="eastAsia"/>
          <w:sz w:val="28"/>
          <w:szCs w:val="28"/>
        </w:rPr>
        <w:t>，交通便利，</w:t>
      </w:r>
      <w:r>
        <w:rPr>
          <w:rFonts w:hint="eastAsia" w:asciiTheme="minorEastAsia" w:hAnsiTheme="minorEastAsia" w:eastAsiaTheme="minorEastAsia" w:cstheme="minorEastAsia"/>
          <w:sz w:val="28"/>
          <w:szCs w:val="28"/>
        </w:rPr>
        <w:t>矿体赋存于</w:t>
      </w:r>
      <w:r>
        <w:rPr>
          <w:rFonts w:hint="eastAsia"/>
          <w:sz w:val="28"/>
          <w:szCs w:val="28"/>
        </w:rPr>
        <w:t>泥盆系锡矿山组灰岩段，可作建筑用石料，矿石质量较优，调整前矿山基本情况：原矿区面积</w:t>
      </w:r>
      <w:r>
        <w:rPr>
          <w:rFonts w:hint="eastAsia"/>
          <w:sz w:val="28"/>
          <w:szCs w:val="28"/>
          <w:lang w:val="zh-CN"/>
        </w:rPr>
        <w:t>0.0</w:t>
      </w:r>
      <w:r>
        <w:rPr>
          <w:rFonts w:hint="eastAsia"/>
          <w:sz w:val="28"/>
          <w:szCs w:val="28"/>
        </w:rPr>
        <w:t>234km</w:t>
      </w:r>
      <w:r>
        <w:rPr>
          <w:rFonts w:hint="eastAsia"/>
          <w:sz w:val="28"/>
          <w:szCs w:val="28"/>
          <w:vertAlign w:val="superscript"/>
        </w:rPr>
        <w:t>2</w:t>
      </w:r>
      <w:r>
        <w:rPr>
          <w:rFonts w:hint="eastAsia"/>
          <w:sz w:val="28"/>
          <w:szCs w:val="28"/>
        </w:rPr>
        <w:t>，保有资源储量207.3万吨，</w:t>
      </w:r>
      <w:r>
        <w:rPr>
          <w:rFonts w:hint="eastAsia" w:asciiTheme="minorEastAsia" w:hAnsiTheme="minorEastAsia" w:eastAsiaTheme="minorEastAsia" w:cstheme="minorEastAsia"/>
          <w:sz w:val="28"/>
          <w:szCs w:val="28"/>
        </w:rPr>
        <w:t>设计生产规模为10万吨/年。</w:t>
      </w:r>
      <w:r>
        <w:rPr>
          <w:rFonts w:hint="eastAsia"/>
          <w:sz w:val="28"/>
          <w:szCs w:val="28"/>
        </w:rPr>
        <w:t>调整后区块基本情况：矿区面积0.</w:t>
      </w:r>
      <w:r>
        <w:rPr>
          <w:rFonts w:hint="eastAsia" w:asciiTheme="minorEastAsia" w:hAnsiTheme="minorEastAsia" w:eastAsiaTheme="minorEastAsia" w:cstheme="minorEastAsia"/>
          <w:sz w:val="28"/>
          <w:szCs w:val="28"/>
        </w:rPr>
        <w:t>1485</w:t>
      </w:r>
      <w:r>
        <w:rPr>
          <w:rFonts w:hint="eastAsia"/>
          <w:sz w:val="28"/>
          <w:szCs w:val="28"/>
        </w:rPr>
        <w:t>km</w:t>
      </w:r>
      <w:r>
        <w:rPr>
          <w:rFonts w:hint="eastAsia"/>
          <w:sz w:val="28"/>
          <w:szCs w:val="28"/>
          <w:vertAlign w:val="superscript"/>
        </w:rPr>
        <w:t>2</w:t>
      </w:r>
      <w:r>
        <w:rPr>
          <w:rFonts w:hint="eastAsia"/>
          <w:sz w:val="28"/>
          <w:szCs w:val="28"/>
        </w:rPr>
        <w:t>，概算资源储量1100万吨，</w:t>
      </w:r>
      <w:r>
        <w:rPr>
          <w:rFonts w:hint="eastAsia" w:asciiTheme="minorEastAsia" w:hAnsiTheme="minorEastAsia" w:eastAsiaTheme="minorEastAsia" w:cstheme="minorEastAsia"/>
          <w:sz w:val="28"/>
          <w:szCs w:val="28"/>
        </w:rPr>
        <w:t>设计生产规模为100万吨/年，属中型矿山。</w:t>
      </w:r>
      <w:r>
        <w:rPr>
          <w:rFonts w:hint="eastAsia" w:cs="宋体"/>
          <w:kern w:val="0"/>
          <w:sz w:val="28"/>
          <w:szCs w:val="28"/>
        </w:rPr>
        <w:t>原矿区正在筹建，东西两面存在半边山，为减少开采可能带来的边坡问题，消除可能的地质灾害和安全隐患，矿山拟向东西两侧扩界；</w:t>
      </w:r>
      <w:r>
        <w:rPr>
          <w:rFonts w:hint="eastAsia"/>
          <w:sz w:val="28"/>
          <w:szCs w:val="28"/>
        </w:rPr>
        <w:t>规划区块不在各类保护区、生态红线、基本农田、其它禁止开采区等范围内。规划区块与国家二级公益林部分重叠，建议在调出公益林后再出让。</w:t>
      </w:r>
    </w:p>
    <w:p>
      <w:pPr>
        <w:topLinePunct/>
        <w:spacing w:line="360" w:lineRule="auto"/>
        <w:ind w:firstLine="560" w:firstLineChars="200"/>
        <w:rPr>
          <w:sz w:val="28"/>
          <w:szCs w:val="28"/>
        </w:rPr>
      </w:pPr>
      <w:r>
        <w:rPr>
          <w:rFonts w:hint="eastAsia" w:ascii="宋体" w:hAnsi="宋体" w:cs="宋体"/>
          <w:sz w:val="28"/>
          <w:szCs w:val="28"/>
        </w:rPr>
        <w:t>⑼</w:t>
      </w:r>
      <w:r>
        <w:rPr>
          <w:rFonts w:hint="eastAsia"/>
          <w:sz w:val="28"/>
          <w:szCs w:val="28"/>
        </w:rPr>
        <w:t>耒阳市大和圩乡春江村建筑用玄武岩</w:t>
      </w:r>
      <w:r>
        <w:rPr>
          <w:rFonts w:hint="eastAsia" w:asciiTheme="minorEastAsia" w:hAnsiTheme="minorEastAsia" w:eastAsiaTheme="minorEastAsia" w:cstheme="minorEastAsia"/>
          <w:sz w:val="28"/>
          <w:szCs w:val="28"/>
        </w:rPr>
        <w:t>开采规划区块</w:t>
      </w:r>
      <w:r>
        <w:rPr>
          <w:rFonts w:hint="eastAsia"/>
          <w:sz w:val="28"/>
          <w:szCs w:val="28"/>
        </w:rPr>
        <w:t>(</w:t>
      </w:r>
      <w:r>
        <w:rPr>
          <w:rFonts w:hint="eastAsia" w:asciiTheme="minorEastAsia" w:hAnsiTheme="minorEastAsia" w:eastAsiaTheme="minorEastAsia" w:cstheme="minorEastAsia"/>
          <w:sz w:val="28"/>
          <w:szCs w:val="28"/>
        </w:rPr>
        <w:t>CQ014</w:t>
      </w:r>
      <w:r>
        <w:rPr>
          <w:rFonts w:hint="eastAsia"/>
          <w:sz w:val="28"/>
          <w:szCs w:val="28"/>
        </w:rPr>
        <w:t>)。位于大和圩乡春江村，</w:t>
      </w:r>
      <w:r>
        <w:rPr>
          <w:rFonts w:hint="eastAsia" w:asciiTheme="minorEastAsia" w:hAnsiTheme="minorEastAsia" w:eastAsiaTheme="minorEastAsia" w:cstheme="minorEastAsia"/>
          <w:sz w:val="28"/>
          <w:szCs w:val="28"/>
        </w:rPr>
        <w:t>有乡村公路与国道G107相连</w:t>
      </w:r>
      <w:r>
        <w:rPr>
          <w:rFonts w:hint="eastAsia"/>
          <w:sz w:val="28"/>
          <w:szCs w:val="28"/>
        </w:rPr>
        <w:t>，交通便利，</w:t>
      </w:r>
      <w:r>
        <w:rPr>
          <w:rFonts w:hint="eastAsia" w:asciiTheme="minorEastAsia" w:hAnsiTheme="minorEastAsia" w:eastAsiaTheme="minorEastAsia" w:cstheme="minorEastAsia"/>
          <w:sz w:val="28"/>
          <w:szCs w:val="28"/>
        </w:rPr>
        <w:t>矿体赋存于</w:t>
      </w:r>
      <w:r>
        <w:rPr>
          <w:rFonts w:hint="eastAsia" w:asciiTheme="minorEastAsia" w:hAnsiTheme="minorEastAsia" w:eastAsiaTheme="minorEastAsia" w:cstheme="minorEastAsia"/>
          <w:sz w:val="28"/>
          <w:szCs w:val="28"/>
          <w:lang w:val="zh-CN"/>
        </w:rPr>
        <w:t>白垩系下统神皇山组内的拉斑玄武岩中</w:t>
      </w:r>
      <w:r>
        <w:rPr>
          <w:rFonts w:hint="eastAsia"/>
          <w:sz w:val="28"/>
          <w:szCs w:val="28"/>
        </w:rPr>
        <w:t>，可作建筑用石料，矿石质量较优，调整前矿山基本情况：原矿区面积</w:t>
      </w:r>
      <w:r>
        <w:rPr>
          <w:rFonts w:hint="eastAsia"/>
          <w:sz w:val="28"/>
          <w:szCs w:val="28"/>
          <w:lang w:val="zh-CN"/>
        </w:rPr>
        <w:t>0.0</w:t>
      </w:r>
      <w:r>
        <w:rPr>
          <w:rFonts w:hint="eastAsia"/>
          <w:sz w:val="28"/>
          <w:szCs w:val="28"/>
        </w:rPr>
        <w:t>134km</w:t>
      </w:r>
      <w:r>
        <w:rPr>
          <w:rFonts w:hint="eastAsia"/>
          <w:sz w:val="28"/>
          <w:szCs w:val="28"/>
          <w:vertAlign w:val="superscript"/>
        </w:rPr>
        <w:t>2</w:t>
      </w:r>
      <w:r>
        <w:rPr>
          <w:rFonts w:hint="eastAsia"/>
          <w:sz w:val="28"/>
          <w:szCs w:val="28"/>
        </w:rPr>
        <w:t>，保有资源储量62.7万吨，</w:t>
      </w:r>
      <w:r>
        <w:rPr>
          <w:rFonts w:hint="eastAsia" w:asciiTheme="minorEastAsia" w:hAnsiTheme="minorEastAsia" w:eastAsiaTheme="minorEastAsia" w:cstheme="minorEastAsia"/>
          <w:sz w:val="28"/>
          <w:szCs w:val="28"/>
        </w:rPr>
        <w:t>设计生产规模为</w:t>
      </w:r>
      <w:r>
        <w:rPr>
          <w:rFonts w:hint="eastAsia"/>
          <w:sz w:val="28"/>
          <w:szCs w:val="28"/>
        </w:rPr>
        <w:t>3.7万立方米</w:t>
      </w:r>
      <w:r>
        <w:rPr>
          <w:rFonts w:hint="eastAsia" w:asciiTheme="minorEastAsia" w:hAnsiTheme="minorEastAsia" w:eastAsiaTheme="minorEastAsia" w:cstheme="minorEastAsia"/>
          <w:sz w:val="28"/>
          <w:szCs w:val="28"/>
        </w:rPr>
        <w:t>。</w:t>
      </w:r>
      <w:r>
        <w:rPr>
          <w:rFonts w:hint="eastAsia"/>
          <w:sz w:val="28"/>
          <w:szCs w:val="28"/>
        </w:rPr>
        <w:t>调整后区块基本情况：矿区面积</w:t>
      </w:r>
      <w:r>
        <w:rPr>
          <w:rFonts w:hint="eastAsia" w:asciiTheme="minorEastAsia" w:hAnsiTheme="minorEastAsia" w:eastAsiaTheme="minorEastAsia" w:cstheme="minorEastAsia"/>
          <w:sz w:val="28"/>
          <w:szCs w:val="28"/>
        </w:rPr>
        <w:t>0.0368</w:t>
      </w:r>
      <w:r>
        <w:rPr>
          <w:rFonts w:hint="eastAsia"/>
          <w:sz w:val="28"/>
          <w:szCs w:val="28"/>
        </w:rPr>
        <w:t>km</w:t>
      </w:r>
      <w:r>
        <w:rPr>
          <w:rFonts w:hint="eastAsia"/>
          <w:sz w:val="28"/>
          <w:szCs w:val="28"/>
          <w:vertAlign w:val="superscript"/>
        </w:rPr>
        <w:t>2</w:t>
      </w:r>
      <w:r>
        <w:rPr>
          <w:rFonts w:hint="eastAsia"/>
          <w:sz w:val="28"/>
          <w:szCs w:val="28"/>
        </w:rPr>
        <w:t>，概算资源储量149万吨，</w:t>
      </w:r>
      <w:r>
        <w:rPr>
          <w:rFonts w:hint="eastAsia" w:asciiTheme="minorEastAsia" w:hAnsiTheme="minorEastAsia" w:eastAsiaTheme="minorEastAsia" w:cstheme="minorEastAsia"/>
          <w:sz w:val="28"/>
          <w:szCs w:val="28"/>
        </w:rPr>
        <w:t>设计生产规模为30万吨/年，属小型矿</w:t>
      </w:r>
      <w:r>
        <w:rPr>
          <w:rFonts w:hint="eastAsia" w:cs="宋体"/>
          <w:kern w:val="0"/>
          <w:sz w:val="28"/>
          <w:szCs w:val="28"/>
        </w:rPr>
        <w:t>山。</w:t>
      </w:r>
      <w:r>
        <w:rPr>
          <w:rFonts w:hint="eastAsia"/>
          <w:sz w:val="28"/>
          <w:szCs w:val="28"/>
        </w:rPr>
        <w:t>原矿区允采范围过小，满足不了开采终了边坡底盘最低要求，为消除地质灾害和安全隐患，矿山拟向南扩界</w:t>
      </w:r>
      <w:r>
        <w:rPr>
          <w:rFonts w:hint="eastAsia" w:cs="宋体"/>
          <w:kern w:val="0"/>
          <w:sz w:val="28"/>
          <w:szCs w:val="28"/>
        </w:rPr>
        <w:t>；</w:t>
      </w:r>
      <w:r>
        <w:rPr>
          <w:rFonts w:hint="eastAsia"/>
          <w:sz w:val="28"/>
          <w:szCs w:val="28"/>
        </w:rPr>
        <w:t>规划区块不在各类保护区、生态红线、基本农田、其它禁止开采区等范围内。距欧阳海支渠35米，</w:t>
      </w:r>
      <w:r>
        <w:rPr>
          <w:rFonts w:hint="eastAsia" w:asciiTheme="minorEastAsia" w:hAnsiTheme="minorEastAsia" w:eastAsiaTheme="minorEastAsia" w:cstheme="minorEastAsia"/>
          <w:sz w:val="28"/>
          <w:szCs w:val="28"/>
        </w:rPr>
        <w:t>建议在水利部门许可后方可出让</w:t>
      </w:r>
      <w:r>
        <w:rPr>
          <w:rFonts w:hint="eastAsia"/>
          <w:sz w:val="28"/>
          <w:szCs w:val="28"/>
        </w:rPr>
        <w:t>。</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⑽</w:t>
      </w:r>
      <w:r>
        <w:rPr>
          <w:rFonts w:hint="eastAsia"/>
          <w:sz w:val="28"/>
          <w:szCs w:val="28"/>
        </w:rPr>
        <w:t>耒阳市余庆街道办事处西冲村7组建筑石料用灰岩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(CQ</w:t>
      </w:r>
      <w:r>
        <w:rPr>
          <w:rFonts w:hint="eastAsia" w:asciiTheme="minorEastAsia" w:hAnsiTheme="minorEastAsia" w:eastAsiaTheme="minorEastAsia" w:cstheme="minorEastAsia"/>
          <w:sz w:val="28"/>
          <w:szCs w:val="28"/>
        </w:rPr>
        <w:t>015</w:t>
      </w:r>
      <w:r>
        <w:rPr>
          <w:rFonts w:hint="eastAsia"/>
          <w:sz w:val="28"/>
          <w:szCs w:val="28"/>
        </w:rPr>
        <w:t>)。位于</w:t>
      </w:r>
      <w:r>
        <w:rPr>
          <w:rFonts w:hint="eastAsia" w:asciiTheme="minorEastAsia" w:hAnsiTheme="minorEastAsia" w:eastAsiaTheme="minorEastAsia" w:cstheme="minorEastAsia"/>
          <w:sz w:val="28"/>
          <w:szCs w:val="28"/>
        </w:rPr>
        <w:t>余</w:t>
      </w:r>
      <w:r>
        <w:rPr>
          <w:rFonts w:hint="eastAsia"/>
          <w:sz w:val="28"/>
          <w:szCs w:val="28"/>
        </w:rPr>
        <w:t>庆街道办</w:t>
      </w:r>
      <w:r>
        <w:rPr>
          <w:rFonts w:hint="eastAsia" w:ascii="宋体" w:hAnsi="宋体" w:cs="宋体"/>
          <w:sz w:val="28"/>
          <w:szCs w:val="28"/>
        </w:rPr>
        <w:t>事处西冲村</w:t>
      </w:r>
      <w:r>
        <w:rPr>
          <w:rFonts w:hint="eastAsia"/>
          <w:sz w:val="28"/>
          <w:szCs w:val="28"/>
        </w:rPr>
        <w:t>，有乡村公路与县道X029相连，交通便利，</w:t>
      </w:r>
      <w:r>
        <w:rPr>
          <w:rFonts w:hint="eastAsia" w:asciiTheme="minorEastAsia" w:hAnsiTheme="minorEastAsia" w:eastAsiaTheme="minorEastAsia" w:cstheme="minorEastAsia"/>
          <w:sz w:val="28"/>
          <w:szCs w:val="28"/>
        </w:rPr>
        <w:t>矿体赋存于</w:t>
      </w:r>
      <w:r>
        <w:rPr>
          <w:rFonts w:hint="eastAsia" w:asciiTheme="minorEastAsia" w:hAnsiTheme="minorEastAsia" w:eastAsiaTheme="minorEastAsia" w:cstheme="minorEastAsia"/>
          <w:sz w:val="28"/>
          <w:szCs w:val="28"/>
          <w:lang w:val="zh-CN"/>
        </w:rPr>
        <w:t>石炭系系下统岩关阶孟公坳组与泥盆系锡矿山组</w:t>
      </w:r>
      <w:r>
        <w:rPr>
          <w:rFonts w:hint="eastAsia"/>
          <w:sz w:val="28"/>
          <w:szCs w:val="28"/>
        </w:rPr>
        <w:t>，可作建筑用石料，矿石质量较优，调整前矿山基本情况：原矿区面积</w:t>
      </w:r>
      <w:r>
        <w:rPr>
          <w:rFonts w:hint="eastAsia"/>
          <w:sz w:val="28"/>
          <w:szCs w:val="28"/>
          <w:lang w:val="zh-CN"/>
        </w:rPr>
        <w:t>0.0</w:t>
      </w:r>
      <w:r>
        <w:rPr>
          <w:rFonts w:hint="eastAsia"/>
          <w:sz w:val="28"/>
          <w:szCs w:val="28"/>
        </w:rPr>
        <w:t>124km</w:t>
      </w:r>
      <w:r>
        <w:rPr>
          <w:rFonts w:hint="eastAsia"/>
          <w:sz w:val="28"/>
          <w:szCs w:val="28"/>
          <w:vertAlign w:val="superscript"/>
        </w:rPr>
        <w:t>2</w:t>
      </w:r>
      <w:r>
        <w:rPr>
          <w:rFonts w:hint="eastAsia"/>
          <w:sz w:val="28"/>
          <w:szCs w:val="28"/>
        </w:rPr>
        <w:t>，保有资源储量117.4万吨，</w:t>
      </w:r>
      <w:r>
        <w:rPr>
          <w:rFonts w:hint="eastAsia" w:asciiTheme="minorEastAsia" w:hAnsiTheme="minorEastAsia" w:eastAsiaTheme="minorEastAsia" w:cstheme="minorEastAsia"/>
          <w:sz w:val="28"/>
          <w:szCs w:val="28"/>
        </w:rPr>
        <w:t>设计生产规模为30万吨/年。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0.1203</w:t>
      </w:r>
      <w:r>
        <w:rPr>
          <w:rFonts w:hint="eastAsia"/>
          <w:sz w:val="28"/>
          <w:szCs w:val="28"/>
        </w:rPr>
        <w:t>km</w:t>
      </w:r>
      <w:r>
        <w:rPr>
          <w:rFonts w:hint="eastAsia"/>
          <w:sz w:val="28"/>
          <w:szCs w:val="28"/>
          <w:vertAlign w:val="superscript"/>
        </w:rPr>
        <w:t>2</w:t>
      </w:r>
      <w:r>
        <w:rPr>
          <w:rFonts w:hint="eastAsia"/>
          <w:sz w:val="28"/>
          <w:szCs w:val="28"/>
        </w:rPr>
        <w:t>，概算资源储量730万吨，</w:t>
      </w:r>
      <w:r>
        <w:rPr>
          <w:rFonts w:hint="eastAsia" w:asciiTheme="minorEastAsia" w:hAnsiTheme="minorEastAsia" w:eastAsiaTheme="minorEastAsia" w:cstheme="minorEastAsia"/>
          <w:sz w:val="28"/>
          <w:szCs w:val="28"/>
        </w:rPr>
        <w:t>设计生产规模为60万吨/年，属小型矿</w:t>
      </w:r>
      <w:r>
        <w:rPr>
          <w:rFonts w:hint="eastAsia" w:cs="宋体"/>
          <w:kern w:val="0"/>
          <w:sz w:val="28"/>
          <w:szCs w:val="28"/>
        </w:rPr>
        <w:t>山</w:t>
      </w:r>
      <w:r>
        <w:rPr>
          <w:rFonts w:hint="eastAsia" w:asciiTheme="minorEastAsia" w:hAnsiTheme="minorEastAsia" w:eastAsiaTheme="minorEastAsia" w:cstheme="minorEastAsia"/>
          <w:sz w:val="28"/>
          <w:szCs w:val="28"/>
        </w:rPr>
        <w:t>。原矿区允采范围过小，存在地质灾害和安全隐患，东面存在半边山开采，但东边为居民区，为消除安全隐患，矿山拟向西北方向扩界；规划区块不在各类保护区、生态红线、基本农田、其它禁</w:t>
      </w:r>
      <w:r>
        <w:rPr>
          <w:rFonts w:hint="eastAsia"/>
          <w:sz w:val="28"/>
          <w:szCs w:val="28"/>
        </w:rPr>
        <w:t>止开采区等范围内。规划区块北部与村庄安全距离达不到，</w:t>
      </w:r>
      <w:r>
        <w:rPr>
          <w:rFonts w:hint="eastAsia" w:asciiTheme="minorEastAsia" w:hAnsiTheme="minorEastAsia" w:eastAsiaTheme="minorEastAsia" w:cstheme="minorEastAsia"/>
          <w:sz w:val="28"/>
          <w:szCs w:val="28"/>
        </w:rPr>
        <w:t>建议在应急管理部门许可后方可出让，</w:t>
      </w:r>
      <w:r>
        <w:rPr>
          <w:rFonts w:hint="eastAsia"/>
          <w:sz w:val="28"/>
          <w:szCs w:val="28"/>
        </w:rPr>
        <w:t>规划区块与国家二级公益林部分重叠，建议在调出公益林后再出让。</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⑾</w:t>
      </w:r>
      <w:r>
        <w:rPr>
          <w:rFonts w:hint="eastAsia"/>
          <w:sz w:val="28"/>
          <w:szCs w:val="28"/>
        </w:rPr>
        <w:t>耒阳市东湖圩镇枫林村砖瓦用页岩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CQ</w:t>
      </w:r>
      <w:r>
        <w:rPr>
          <w:rFonts w:hint="eastAsia" w:asciiTheme="minorEastAsia" w:hAnsiTheme="minorEastAsia" w:eastAsiaTheme="minorEastAsia" w:cstheme="minorEastAsia"/>
          <w:sz w:val="28"/>
          <w:szCs w:val="28"/>
        </w:rPr>
        <w:t>016</w:t>
      </w:r>
      <w:r>
        <w:rPr>
          <w:rFonts w:hint="eastAsia"/>
          <w:sz w:val="28"/>
          <w:szCs w:val="28"/>
        </w:rPr>
        <w:t>)。位于</w:t>
      </w:r>
      <w:r>
        <w:rPr>
          <w:rFonts w:hint="eastAsia" w:asciiTheme="minorEastAsia" w:hAnsiTheme="minorEastAsia" w:eastAsiaTheme="minorEastAsia" w:cstheme="minorEastAsia"/>
          <w:sz w:val="28"/>
          <w:szCs w:val="28"/>
        </w:rPr>
        <w:t>东湖圩镇枫林</w:t>
      </w:r>
      <w:r>
        <w:rPr>
          <w:rFonts w:hint="eastAsia"/>
          <w:sz w:val="28"/>
          <w:szCs w:val="28"/>
        </w:rPr>
        <w:t>村，有乡村公路与国道G356相连，交通便利，</w:t>
      </w:r>
      <w:r>
        <w:rPr>
          <w:rFonts w:hint="eastAsia" w:asciiTheme="minorEastAsia" w:hAnsiTheme="minorEastAsia" w:eastAsiaTheme="minorEastAsia" w:cstheme="minorEastAsia"/>
          <w:sz w:val="28"/>
          <w:szCs w:val="28"/>
        </w:rPr>
        <w:t>矿体赋存于</w:t>
      </w:r>
      <w:r>
        <w:rPr>
          <w:rFonts w:hint="eastAsia" w:asciiTheme="minorEastAsia" w:hAnsiTheme="minorEastAsia" w:eastAsiaTheme="minorEastAsia" w:cstheme="minorEastAsia"/>
          <w:sz w:val="28"/>
          <w:szCs w:val="28"/>
          <w:lang w:val="zh-CN"/>
        </w:rPr>
        <w:t>石炭系下统大塘阶测水段、白垩系下统神皇山组</w:t>
      </w:r>
      <w:r>
        <w:rPr>
          <w:rFonts w:hint="eastAsia"/>
          <w:sz w:val="28"/>
          <w:szCs w:val="28"/>
        </w:rPr>
        <w:t>，调整前矿山基本情况：原矿区面积</w:t>
      </w:r>
      <w:r>
        <w:rPr>
          <w:rFonts w:hint="eastAsia"/>
          <w:sz w:val="28"/>
          <w:szCs w:val="28"/>
          <w:lang w:val="zh-CN"/>
        </w:rPr>
        <w:t>0.0</w:t>
      </w:r>
      <w:r>
        <w:rPr>
          <w:rFonts w:hint="eastAsia"/>
          <w:sz w:val="28"/>
          <w:szCs w:val="28"/>
        </w:rPr>
        <w:t>552km</w:t>
      </w:r>
      <w:r>
        <w:rPr>
          <w:rFonts w:hint="eastAsia"/>
          <w:sz w:val="28"/>
          <w:szCs w:val="28"/>
          <w:vertAlign w:val="superscript"/>
        </w:rPr>
        <w:t>2</w:t>
      </w:r>
      <w:r>
        <w:rPr>
          <w:rFonts w:hint="eastAsia"/>
          <w:sz w:val="28"/>
          <w:szCs w:val="28"/>
        </w:rPr>
        <w:t>，保有资源储量255.8万吨，</w:t>
      </w:r>
      <w:r>
        <w:rPr>
          <w:rFonts w:hint="eastAsia" w:asciiTheme="minorEastAsia" w:hAnsiTheme="minorEastAsia" w:eastAsiaTheme="minorEastAsia" w:cstheme="minorEastAsia"/>
          <w:sz w:val="28"/>
          <w:szCs w:val="28"/>
        </w:rPr>
        <w:t>设计生产规模为30万吨/年。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0.071</w:t>
      </w:r>
      <w:r>
        <w:rPr>
          <w:rFonts w:hint="eastAsia"/>
          <w:sz w:val="28"/>
          <w:szCs w:val="28"/>
        </w:rPr>
        <w:t>km</w:t>
      </w:r>
      <w:r>
        <w:rPr>
          <w:rFonts w:hint="eastAsia"/>
          <w:sz w:val="28"/>
          <w:szCs w:val="28"/>
          <w:vertAlign w:val="superscript"/>
        </w:rPr>
        <w:t>2</w:t>
      </w:r>
      <w:r>
        <w:rPr>
          <w:rFonts w:hint="eastAsia"/>
          <w:sz w:val="28"/>
          <w:szCs w:val="28"/>
        </w:rPr>
        <w:t>，概算资源储量210万吨，</w:t>
      </w:r>
      <w:r>
        <w:rPr>
          <w:rFonts w:hint="eastAsia" w:asciiTheme="minorEastAsia" w:hAnsiTheme="minorEastAsia" w:eastAsiaTheme="minorEastAsia" w:cstheme="minorEastAsia"/>
          <w:sz w:val="28"/>
          <w:szCs w:val="28"/>
        </w:rPr>
        <w:t>设计生产规模为30万吨/年，属小型矿</w:t>
      </w:r>
      <w:r>
        <w:rPr>
          <w:rFonts w:hint="eastAsia" w:cs="宋体"/>
          <w:kern w:val="0"/>
          <w:sz w:val="28"/>
          <w:szCs w:val="28"/>
        </w:rPr>
        <w:t>山</w:t>
      </w:r>
      <w:r>
        <w:rPr>
          <w:rFonts w:hint="eastAsia" w:asciiTheme="minorEastAsia" w:hAnsiTheme="minorEastAsia" w:eastAsiaTheme="minorEastAsia" w:cstheme="minorEastAsia"/>
          <w:sz w:val="28"/>
          <w:szCs w:val="28"/>
        </w:rPr>
        <w:t>。原矿区西北边存在半边山开采，</w:t>
      </w:r>
      <w:r>
        <w:rPr>
          <w:rFonts w:hint="eastAsia" w:cs="宋体"/>
          <w:kern w:val="0"/>
          <w:sz w:val="28"/>
          <w:szCs w:val="28"/>
        </w:rPr>
        <w:t>为减少开采边坡，消除地质灾害和安全隐患，矿山拟向南部扩界</w:t>
      </w:r>
      <w:r>
        <w:rPr>
          <w:rFonts w:hint="eastAsia" w:asciiTheme="minorEastAsia" w:hAnsiTheme="minorEastAsia" w:eastAsiaTheme="minorEastAsia" w:cstheme="minorEastAsia"/>
          <w:sz w:val="28"/>
          <w:szCs w:val="28"/>
        </w:rPr>
        <w:t>；规划区块不在各类保护区、生态红线、基本农田、其它禁</w:t>
      </w:r>
      <w:r>
        <w:rPr>
          <w:rFonts w:hint="eastAsia"/>
          <w:sz w:val="28"/>
          <w:szCs w:val="28"/>
        </w:rPr>
        <w:t>止开采区等范围内。</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⑿</w:t>
      </w:r>
      <w:r>
        <w:rPr>
          <w:rFonts w:hint="eastAsia"/>
          <w:sz w:val="28"/>
          <w:szCs w:val="28"/>
        </w:rPr>
        <w:t>耒阳市公平圩镇横岭村建筑石料用灰岩</w:t>
      </w:r>
      <w:r>
        <w:rPr>
          <w:rFonts w:hint="eastAsia" w:asciiTheme="minorEastAsia" w:hAnsiTheme="minorEastAsia" w:eastAsiaTheme="minorEastAsia" w:cstheme="minorEastAsia"/>
          <w:sz w:val="28"/>
          <w:szCs w:val="28"/>
        </w:rPr>
        <w:t>开采规划区块</w:t>
      </w:r>
      <w:r>
        <w:rPr>
          <w:rFonts w:hint="eastAsia"/>
          <w:sz w:val="28"/>
          <w:szCs w:val="28"/>
        </w:rPr>
        <w:t>(</w:t>
      </w:r>
      <w:r>
        <w:rPr>
          <w:rFonts w:hint="eastAsia" w:ascii="宋体" w:hAnsi="宋体" w:cs="宋体"/>
          <w:sz w:val="28"/>
          <w:szCs w:val="28"/>
        </w:rPr>
        <w:t>CQ</w:t>
      </w:r>
      <w:r>
        <w:rPr>
          <w:rFonts w:hint="eastAsia" w:asciiTheme="minorEastAsia" w:hAnsiTheme="minorEastAsia" w:eastAsiaTheme="minorEastAsia" w:cstheme="minorEastAsia"/>
          <w:sz w:val="28"/>
          <w:szCs w:val="28"/>
        </w:rPr>
        <w:t>017</w:t>
      </w:r>
      <w:r>
        <w:rPr>
          <w:rFonts w:hint="eastAsia"/>
          <w:sz w:val="28"/>
          <w:szCs w:val="28"/>
        </w:rPr>
        <w:t>)。位于</w:t>
      </w:r>
      <w:r>
        <w:rPr>
          <w:rFonts w:hint="eastAsia" w:asciiTheme="minorEastAsia" w:hAnsiTheme="minorEastAsia" w:eastAsiaTheme="minorEastAsia" w:cstheme="minorEastAsia"/>
          <w:sz w:val="28"/>
          <w:szCs w:val="28"/>
        </w:rPr>
        <w:t>公平镇</w:t>
      </w:r>
      <w:r>
        <w:rPr>
          <w:rFonts w:hint="eastAsia"/>
          <w:sz w:val="28"/>
          <w:szCs w:val="28"/>
        </w:rPr>
        <w:t>横岭村，有乡村公路与国道G107相连，交通便利，</w:t>
      </w:r>
      <w:r>
        <w:rPr>
          <w:rFonts w:hint="eastAsia" w:asciiTheme="minorEastAsia" w:hAnsiTheme="minorEastAsia" w:eastAsiaTheme="minorEastAsia" w:cstheme="minorEastAsia"/>
          <w:sz w:val="28"/>
          <w:szCs w:val="28"/>
        </w:rPr>
        <w:t>矿体赋存于</w:t>
      </w:r>
      <w:r>
        <w:rPr>
          <w:rFonts w:hint="eastAsia"/>
          <w:sz w:val="28"/>
          <w:szCs w:val="28"/>
          <w:lang w:val="zh-CN"/>
        </w:rPr>
        <w:t>石炭系下统大塘阶石蹬子段</w:t>
      </w:r>
      <w:r>
        <w:rPr>
          <w:rFonts w:hint="eastAsia" w:asciiTheme="minorEastAsia" w:hAnsiTheme="minorEastAsia" w:eastAsiaTheme="minorEastAsia" w:cstheme="minorEastAsia"/>
          <w:sz w:val="28"/>
          <w:szCs w:val="28"/>
          <w:lang w:val="zh-CN"/>
        </w:rPr>
        <w:t>与石炭系下统岩关组</w:t>
      </w:r>
      <w:r>
        <w:rPr>
          <w:rFonts w:hint="eastAsia"/>
          <w:sz w:val="28"/>
          <w:szCs w:val="28"/>
        </w:rPr>
        <w:t>，可作建筑用石料，矿石质量较优，调整前矿山基本情况：原矿区面积</w:t>
      </w:r>
      <w:r>
        <w:rPr>
          <w:rFonts w:hint="eastAsia"/>
          <w:sz w:val="28"/>
          <w:szCs w:val="28"/>
          <w:lang w:val="zh-CN"/>
        </w:rPr>
        <w:t>0.0</w:t>
      </w:r>
      <w:r>
        <w:rPr>
          <w:rFonts w:hint="eastAsia"/>
          <w:sz w:val="28"/>
          <w:szCs w:val="28"/>
        </w:rPr>
        <w:t>382km</w:t>
      </w:r>
      <w:r>
        <w:rPr>
          <w:rFonts w:hint="eastAsia"/>
          <w:sz w:val="28"/>
          <w:szCs w:val="28"/>
          <w:vertAlign w:val="superscript"/>
        </w:rPr>
        <w:t>2</w:t>
      </w:r>
      <w:r>
        <w:rPr>
          <w:rFonts w:hint="eastAsia"/>
          <w:sz w:val="28"/>
          <w:szCs w:val="28"/>
        </w:rPr>
        <w:t>，保有资源储量163.8万吨，</w:t>
      </w:r>
      <w:r>
        <w:rPr>
          <w:rFonts w:hint="eastAsia" w:asciiTheme="minorEastAsia" w:hAnsiTheme="minorEastAsia" w:eastAsiaTheme="minorEastAsia" w:cstheme="minorEastAsia"/>
          <w:sz w:val="28"/>
          <w:szCs w:val="28"/>
        </w:rPr>
        <w:t>设计生产规模为10万吨/年。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0.0735</w:t>
      </w:r>
      <w:r>
        <w:rPr>
          <w:rFonts w:hint="eastAsia"/>
          <w:sz w:val="28"/>
          <w:szCs w:val="28"/>
        </w:rPr>
        <w:t>km</w:t>
      </w:r>
      <w:r>
        <w:rPr>
          <w:rFonts w:hint="eastAsia"/>
          <w:sz w:val="28"/>
          <w:szCs w:val="28"/>
          <w:vertAlign w:val="superscript"/>
        </w:rPr>
        <w:t>2</w:t>
      </w:r>
      <w:r>
        <w:rPr>
          <w:rFonts w:hint="eastAsia"/>
          <w:sz w:val="28"/>
          <w:szCs w:val="28"/>
        </w:rPr>
        <w:t>，概算资源储量600万吨，</w:t>
      </w:r>
      <w:r>
        <w:rPr>
          <w:rFonts w:hint="eastAsia" w:asciiTheme="minorEastAsia" w:hAnsiTheme="minorEastAsia" w:eastAsiaTheme="minorEastAsia" w:cstheme="minorEastAsia"/>
          <w:sz w:val="28"/>
          <w:szCs w:val="28"/>
        </w:rPr>
        <w:t>设计生产规模为60万吨/年，属小型矿</w:t>
      </w:r>
      <w:r>
        <w:rPr>
          <w:rFonts w:hint="eastAsia" w:cs="宋体"/>
          <w:kern w:val="0"/>
          <w:sz w:val="28"/>
          <w:szCs w:val="28"/>
        </w:rPr>
        <w:t>山</w:t>
      </w:r>
      <w:r>
        <w:rPr>
          <w:rFonts w:hint="eastAsia" w:asciiTheme="minorEastAsia" w:hAnsiTheme="minorEastAsia" w:eastAsiaTheme="minorEastAsia" w:cstheme="minorEastAsia"/>
          <w:sz w:val="28"/>
          <w:szCs w:val="28"/>
        </w:rPr>
        <w:t>。</w:t>
      </w:r>
      <w:r>
        <w:rPr>
          <w:rFonts w:hint="eastAsia"/>
          <w:sz w:val="28"/>
          <w:szCs w:val="28"/>
        </w:rPr>
        <w:t>原矿区允采范围过小，满足不了开采终了边坡底盘最低要求，为消除地质灾害和安全隐患，矿山拟向西扩界</w:t>
      </w:r>
      <w:r>
        <w:rPr>
          <w:rFonts w:hint="eastAsia" w:asciiTheme="minorEastAsia" w:hAnsiTheme="minorEastAsia" w:eastAsiaTheme="minorEastAsia" w:cstheme="minorEastAsia"/>
          <w:sz w:val="28"/>
          <w:szCs w:val="28"/>
        </w:rPr>
        <w:t>；规划区块不在各类保护区、生态红线、基本农田、其它禁</w:t>
      </w:r>
      <w:r>
        <w:rPr>
          <w:rFonts w:hint="eastAsia"/>
          <w:sz w:val="28"/>
          <w:szCs w:val="28"/>
        </w:rPr>
        <w:t>止开采区等范围内。规划区块与国家二级公益林部分重叠，建议在调出公益林后再出让。</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⒀</w:t>
      </w:r>
      <w:r>
        <w:rPr>
          <w:rFonts w:hint="eastAsia"/>
          <w:sz w:val="28"/>
          <w:szCs w:val="28"/>
        </w:rPr>
        <w:t>耒阳市公平圩镇公平村建筑石料用灰岩</w:t>
      </w:r>
      <w:r>
        <w:rPr>
          <w:rFonts w:hint="eastAsia" w:asciiTheme="minorEastAsia" w:hAnsiTheme="minorEastAsia" w:eastAsiaTheme="minorEastAsia" w:cstheme="minorEastAsia"/>
          <w:sz w:val="28"/>
          <w:szCs w:val="28"/>
        </w:rPr>
        <w:t>开采规划区块</w:t>
      </w:r>
      <w:r>
        <w:rPr>
          <w:rFonts w:hint="eastAsia"/>
          <w:sz w:val="28"/>
          <w:szCs w:val="28"/>
        </w:rPr>
        <w:t>(CQ018)。位于公平镇公平</w:t>
      </w:r>
      <w:r>
        <w:rPr>
          <w:rFonts w:hint="eastAsia" w:asciiTheme="minorEastAsia" w:hAnsiTheme="minorEastAsia" w:eastAsiaTheme="minorEastAsia" w:cstheme="minorEastAsia"/>
          <w:sz w:val="28"/>
          <w:szCs w:val="28"/>
        </w:rPr>
        <w:t>村</w:t>
      </w:r>
      <w:r>
        <w:rPr>
          <w:rFonts w:hint="eastAsia"/>
          <w:sz w:val="28"/>
          <w:szCs w:val="28"/>
        </w:rPr>
        <w:t>，有乡村公路与国道G107相连，交通便利，矿体赋存于</w:t>
      </w:r>
      <w:r>
        <w:rPr>
          <w:rFonts w:hint="eastAsia"/>
          <w:sz w:val="28"/>
          <w:szCs w:val="28"/>
          <w:lang w:val="zh-CN"/>
        </w:rPr>
        <w:t>石炭系系下统岩关阶孟公坳组</w:t>
      </w:r>
      <w:r>
        <w:rPr>
          <w:rFonts w:hint="eastAsia"/>
          <w:sz w:val="28"/>
          <w:szCs w:val="28"/>
        </w:rPr>
        <w:t>，可作建筑用石料，矿石质量较优，调整前矿山基本情况：原矿区面积</w:t>
      </w:r>
      <w:r>
        <w:rPr>
          <w:rFonts w:hint="eastAsia"/>
          <w:sz w:val="28"/>
          <w:szCs w:val="28"/>
          <w:lang w:val="zh-CN"/>
        </w:rPr>
        <w:t>0.0</w:t>
      </w:r>
      <w:r>
        <w:rPr>
          <w:rFonts w:hint="eastAsia"/>
          <w:sz w:val="28"/>
          <w:szCs w:val="28"/>
        </w:rPr>
        <w:t>436km</w:t>
      </w:r>
      <w:r>
        <w:rPr>
          <w:rFonts w:hint="eastAsia"/>
          <w:sz w:val="28"/>
          <w:szCs w:val="28"/>
          <w:vertAlign w:val="superscript"/>
        </w:rPr>
        <w:t>2</w:t>
      </w:r>
      <w:r>
        <w:rPr>
          <w:rFonts w:hint="eastAsia"/>
          <w:sz w:val="28"/>
          <w:szCs w:val="28"/>
        </w:rPr>
        <w:t>，保有资源储量246.5万吨，</w:t>
      </w:r>
      <w:r>
        <w:rPr>
          <w:rFonts w:hint="eastAsia" w:asciiTheme="minorEastAsia" w:hAnsiTheme="minorEastAsia" w:eastAsiaTheme="minorEastAsia" w:cstheme="minorEastAsia"/>
          <w:sz w:val="28"/>
          <w:szCs w:val="28"/>
        </w:rPr>
        <w:t>设计生产规模为20万吨/年。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0.0683</w:t>
      </w:r>
      <w:r>
        <w:rPr>
          <w:rFonts w:hint="eastAsia"/>
          <w:sz w:val="28"/>
          <w:szCs w:val="28"/>
        </w:rPr>
        <w:t>km</w:t>
      </w:r>
      <w:r>
        <w:rPr>
          <w:rFonts w:hint="eastAsia"/>
          <w:sz w:val="28"/>
          <w:szCs w:val="28"/>
          <w:vertAlign w:val="superscript"/>
        </w:rPr>
        <w:t>2</w:t>
      </w:r>
      <w:r>
        <w:rPr>
          <w:rFonts w:hint="eastAsia"/>
          <w:sz w:val="28"/>
          <w:szCs w:val="28"/>
        </w:rPr>
        <w:t>，概算资源储量700万吨，</w:t>
      </w:r>
      <w:r>
        <w:rPr>
          <w:rFonts w:hint="eastAsia" w:asciiTheme="minorEastAsia" w:hAnsiTheme="minorEastAsia" w:eastAsiaTheme="minorEastAsia" w:cstheme="minorEastAsia"/>
          <w:sz w:val="28"/>
          <w:szCs w:val="28"/>
        </w:rPr>
        <w:t>设计生产规模为60万吨/年，属小型矿</w:t>
      </w:r>
      <w:r>
        <w:rPr>
          <w:rFonts w:hint="eastAsia" w:cs="宋体"/>
          <w:kern w:val="0"/>
          <w:sz w:val="28"/>
          <w:szCs w:val="28"/>
        </w:rPr>
        <w:t>山</w:t>
      </w:r>
      <w:r>
        <w:rPr>
          <w:rFonts w:hint="eastAsia" w:asciiTheme="minorEastAsia" w:hAnsiTheme="minorEastAsia" w:eastAsiaTheme="minorEastAsia" w:cstheme="minorEastAsia"/>
          <w:sz w:val="28"/>
          <w:szCs w:val="28"/>
        </w:rPr>
        <w:t>。原矿区正在</w:t>
      </w:r>
      <w:r>
        <w:rPr>
          <w:rFonts w:hint="eastAsia" w:cs="宋体"/>
          <w:kern w:val="0"/>
          <w:sz w:val="28"/>
          <w:szCs w:val="28"/>
        </w:rPr>
        <w:t>筹建，</w:t>
      </w:r>
      <w:r>
        <w:rPr>
          <w:rFonts w:hint="eastAsia" w:asciiTheme="minorEastAsia" w:hAnsiTheme="minorEastAsia" w:eastAsiaTheme="minorEastAsia" w:cstheme="minorEastAsia"/>
          <w:sz w:val="28"/>
          <w:szCs w:val="28"/>
        </w:rPr>
        <w:t>由于达不到现矿规准入条件，</w:t>
      </w:r>
      <w:r>
        <w:rPr>
          <w:rFonts w:hint="eastAsia" w:cs="宋体"/>
          <w:kern w:val="0"/>
          <w:sz w:val="28"/>
          <w:szCs w:val="28"/>
        </w:rPr>
        <w:t>矿山拟向北扩界；</w:t>
      </w:r>
      <w:r>
        <w:rPr>
          <w:rFonts w:hint="eastAsia" w:asciiTheme="minorEastAsia" w:hAnsiTheme="minorEastAsia" w:eastAsiaTheme="minorEastAsia" w:cstheme="minorEastAsia"/>
          <w:sz w:val="28"/>
          <w:szCs w:val="28"/>
        </w:rPr>
        <w:t>规划区块不在各类保护区、生态红线、基本农田、其它禁</w:t>
      </w:r>
      <w:r>
        <w:rPr>
          <w:rFonts w:hint="eastAsia"/>
          <w:sz w:val="28"/>
          <w:szCs w:val="28"/>
        </w:rPr>
        <w:t>止开采区等范围内。规划区块大部分与国家二级公益林部分重叠，建议在调出公益林后再出让。</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⒁</w:t>
      </w:r>
      <w:r>
        <w:rPr>
          <w:rFonts w:hint="eastAsia"/>
          <w:sz w:val="28"/>
          <w:szCs w:val="28"/>
        </w:rPr>
        <w:t>耒阳市三都镇上架村建筑石料用灰岩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w:t>
      </w:r>
      <w:r>
        <w:rPr>
          <w:rFonts w:hint="eastAsia"/>
          <w:sz w:val="28"/>
          <w:szCs w:val="28"/>
        </w:rPr>
        <w:t>CQ019)。位于</w:t>
      </w:r>
      <w:r>
        <w:rPr>
          <w:rFonts w:hint="eastAsia" w:ascii="宋体" w:hAnsi="宋体" w:cs="宋体"/>
          <w:sz w:val="28"/>
          <w:szCs w:val="28"/>
        </w:rPr>
        <w:t>三都镇上架</w:t>
      </w:r>
      <w:r>
        <w:rPr>
          <w:rFonts w:hint="eastAsia"/>
          <w:sz w:val="28"/>
          <w:szCs w:val="28"/>
        </w:rPr>
        <w:t>村，有乡村公路与省道S214相连，交通便利，矿体赋存于</w:t>
      </w:r>
      <w:r>
        <w:rPr>
          <w:rFonts w:hint="eastAsia"/>
          <w:sz w:val="28"/>
          <w:szCs w:val="28"/>
          <w:lang w:val="zh-CN"/>
        </w:rPr>
        <w:t>三叠系大冶组中段与三叠系大冶组上段</w:t>
      </w:r>
      <w:r>
        <w:rPr>
          <w:rFonts w:hint="eastAsia"/>
          <w:sz w:val="28"/>
          <w:szCs w:val="28"/>
        </w:rPr>
        <w:t>，可作建筑用石料，矿石质量较优，调整前矿山基本情况：原矿区面积</w:t>
      </w:r>
      <w:r>
        <w:rPr>
          <w:rFonts w:hint="eastAsia"/>
          <w:sz w:val="28"/>
          <w:szCs w:val="28"/>
          <w:lang w:val="zh-CN"/>
        </w:rPr>
        <w:t>0.0</w:t>
      </w:r>
      <w:r>
        <w:rPr>
          <w:rFonts w:hint="eastAsia"/>
          <w:sz w:val="28"/>
          <w:szCs w:val="28"/>
        </w:rPr>
        <w:t>191km</w:t>
      </w:r>
      <w:r>
        <w:rPr>
          <w:rFonts w:hint="eastAsia"/>
          <w:sz w:val="28"/>
          <w:szCs w:val="28"/>
          <w:vertAlign w:val="superscript"/>
        </w:rPr>
        <w:t>2</w:t>
      </w:r>
      <w:r>
        <w:rPr>
          <w:rFonts w:hint="eastAsia"/>
          <w:sz w:val="28"/>
          <w:szCs w:val="28"/>
        </w:rPr>
        <w:t>，保有资源储量130.5万吨，</w:t>
      </w:r>
      <w:r>
        <w:rPr>
          <w:rFonts w:hint="eastAsia" w:asciiTheme="minorEastAsia" w:hAnsiTheme="minorEastAsia" w:eastAsiaTheme="minorEastAsia" w:cstheme="minorEastAsia"/>
          <w:sz w:val="28"/>
          <w:szCs w:val="28"/>
        </w:rPr>
        <w:t>设计生产规模为10万吨/年。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0.0512</w:t>
      </w:r>
      <w:r>
        <w:rPr>
          <w:rFonts w:hint="eastAsia"/>
          <w:sz w:val="28"/>
          <w:szCs w:val="28"/>
        </w:rPr>
        <w:t>km</w:t>
      </w:r>
      <w:r>
        <w:rPr>
          <w:rFonts w:hint="eastAsia"/>
          <w:sz w:val="28"/>
          <w:szCs w:val="28"/>
          <w:vertAlign w:val="superscript"/>
        </w:rPr>
        <w:t>2</w:t>
      </w:r>
      <w:r>
        <w:rPr>
          <w:rFonts w:hint="eastAsia"/>
          <w:sz w:val="28"/>
          <w:szCs w:val="28"/>
        </w:rPr>
        <w:t>，概算资源储量377万吨，</w:t>
      </w:r>
      <w:r>
        <w:rPr>
          <w:rFonts w:hint="eastAsia" w:asciiTheme="minorEastAsia" w:hAnsiTheme="minorEastAsia" w:eastAsiaTheme="minorEastAsia" w:cstheme="minorEastAsia"/>
          <w:sz w:val="28"/>
          <w:szCs w:val="28"/>
        </w:rPr>
        <w:t>设计生产规模为30万吨/年，属小型矿</w:t>
      </w:r>
      <w:r>
        <w:rPr>
          <w:rFonts w:hint="eastAsia" w:cs="宋体"/>
          <w:kern w:val="0"/>
          <w:sz w:val="28"/>
          <w:szCs w:val="28"/>
        </w:rPr>
        <w:t>山</w:t>
      </w:r>
      <w:r>
        <w:rPr>
          <w:rFonts w:hint="eastAsia" w:asciiTheme="minorEastAsia" w:hAnsiTheme="minorEastAsia" w:eastAsiaTheme="minorEastAsia" w:cstheme="minorEastAsia"/>
          <w:sz w:val="28"/>
          <w:szCs w:val="28"/>
        </w:rPr>
        <w:t>。</w:t>
      </w:r>
      <w:r>
        <w:rPr>
          <w:rFonts w:hint="eastAsia"/>
          <w:sz w:val="28"/>
          <w:szCs w:val="28"/>
        </w:rPr>
        <w:t>原矿区允采范围过小，东边存在半边山开采，为消除地质灾害和安全隐患，矿山拟向东扩界</w:t>
      </w:r>
      <w:r>
        <w:rPr>
          <w:rFonts w:hint="eastAsia" w:asciiTheme="minorEastAsia" w:hAnsiTheme="minorEastAsia" w:eastAsiaTheme="minorEastAsia" w:cstheme="minorEastAsia"/>
          <w:sz w:val="28"/>
          <w:szCs w:val="28"/>
        </w:rPr>
        <w:t>；规划区块不在各类保护区、生态红线、基本农田、其它禁</w:t>
      </w:r>
      <w:r>
        <w:rPr>
          <w:rFonts w:hint="eastAsia"/>
          <w:sz w:val="28"/>
          <w:szCs w:val="28"/>
        </w:rPr>
        <w:t>止开采区等范围内。</w:t>
      </w:r>
      <w:r>
        <w:rPr>
          <w:rFonts w:hint="eastAsia" w:asciiTheme="minorEastAsia" w:hAnsiTheme="minorEastAsia" w:eastAsiaTheme="minorEastAsia" w:cstheme="minorEastAsia"/>
          <w:sz w:val="28"/>
          <w:szCs w:val="28"/>
        </w:rPr>
        <w:t>规划区块</w:t>
      </w:r>
      <w:r>
        <w:rPr>
          <w:rFonts w:hint="eastAsia"/>
          <w:sz w:val="28"/>
          <w:szCs w:val="28"/>
        </w:rPr>
        <w:t>小部分与国家二级公益林部分重叠，建议在调出公益林后再出让。</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⒂</w:t>
      </w:r>
      <w:r>
        <w:rPr>
          <w:rFonts w:hint="eastAsia"/>
          <w:sz w:val="28"/>
          <w:szCs w:val="28"/>
        </w:rPr>
        <w:t>耒</w:t>
      </w:r>
      <w:r>
        <w:rPr>
          <w:rFonts w:hint="eastAsia" w:asciiTheme="minorEastAsia" w:hAnsiTheme="minorEastAsia" w:eastAsiaTheme="minorEastAsia" w:cstheme="minorEastAsia"/>
          <w:sz w:val="28"/>
          <w:szCs w:val="28"/>
        </w:rPr>
        <w:t>阳市公平</w:t>
      </w:r>
      <w:r>
        <w:rPr>
          <w:rFonts w:hint="eastAsia"/>
          <w:sz w:val="28"/>
          <w:szCs w:val="28"/>
        </w:rPr>
        <w:t>圩镇横岭村狮子岭建筑石料用灰岩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w:t>
      </w:r>
      <w:r>
        <w:rPr>
          <w:rFonts w:hint="eastAsia"/>
          <w:sz w:val="28"/>
          <w:szCs w:val="28"/>
        </w:rPr>
        <w:t>CQ020)。位于</w:t>
      </w:r>
      <w:r>
        <w:rPr>
          <w:rFonts w:hint="eastAsia" w:ascii="宋体" w:hAnsi="宋体" w:cs="宋体"/>
          <w:sz w:val="28"/>
          <w:szCs w:val="28"/>
        </w:rPr>
        <w:t>公平镇横岭</w:t>
      </w:r>
      <w:r>
        <w:rPr>
          <w:rFonts w:hint="eastAsia" w:asciiTheme="minorEastAsia" w:hAnsiTheme="minorEastAsia" w:eastAsiaTheme="minorEastAsia" w:cstheme="minorEastAsia"/>
          <w:sz w:val="28"/>
          <w:szCs w:val="28"/>
        </w:rPr>
        <w:t>村，</w:t>
      </w:r>
      <w:r>
        <w:rPr>
          <w:rFonts w:hint="eastAsia"/>
          <w:sz w:val="28"/>
          <w:szCs w:val="28"/>
        </w:rPr>
        <w:t>有乡村公路与国道G107相连，交通便利，矿体赋存于</w:t>
      </w:r>
      <w:r>
        <w:rPr>
          <w:rFonts w:hint="eastAsia"/>
          <w:sz w:val="28"/>
          <w:szCs w:val="28"/>
          <w:lang w:val="zh-CN"/>
        </w:rPr>
        <w:t>石炭系下统大塘阶石蹬子段，</w:t>
      </w:r>
      <w:r>
        <w:rPr>
          <w:rFonts w:hint="eastAsia"/>
          <w:sz w:val="28"/>
          <w:szCs w:val="28"/>
        </w:rPr>
        <w:t>可作建筑用石料，矿石质量较优，调整前矿山基本情况：原矿区面积</w:t>
      </w:r>
      <w:r>
        <w:rPr>
          <w:rFonts w:hint="eastAsia"/>
          <w:sz w:val="28"/>
          <w:szCs w:val="28"/>
          <w:lang w:val="zh-CN"/>
        </w:rPr>
        <w:t>0.0</w:t>
      </w:r>
      <w:r>
        <w:rPr>
          <w:rFonts w:hint="eastAsia"/>
          <w:sz w:val="28"/>
          <w:szCs w:val="28"/>
        </w:rPr>
        <w:t>119km</w:t>
      </w:r>
      <w:r>
        <w:rPr>
          <w:rFonts w:hint="eastAsia"/>
          <w:sz w:val="28"/>
          <w:szCs w:val="28"/>
          <w:vertAlign w:val="superscript"/>
        </w:rPr>
        <w:t>2</w:t>
      </w:r>
      <w:r>
        <w:rPr>
          <w:rFonts w:hint="eastAsia"/>
          <w:sz w:val="28"/>
          <w:szCs w:val="28"/>
        </w:rPr>
        <w:t>，保有资源储量53.2万吨，</w:t>
      </w:r>
      <w:r>
        <w:rPr>
          <w:rFonts w:hint="eastAsia" w:asciiTheme="minorEastAsia" w:hAnsiTheme="minorEastAsia" w:eastAsiaTheme="minorEastAsia" w:cstheme="minorEastAsia"/>
          <w:sz w:val="28"/>
          <w:szCs w:val="28"/>
        </w:rPr>
        <w:t>设计生产规模为10万吨/年。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0.1004</w:t>
      </w:r>
      <w:r>
        <w:rPr>
          <w:rFonts w:hint="eastAsia"/>
          <w:sz w:val="28"/>
          <w:szCs w:val="28"/>
        </w:rPr>
        <w:t>km</w:t>
      </w:r>
      <w:r>
        <w:rPr>
          <w:rFonts w:hint="eastAsia"/>
          <w:sz w:val="28"/>
          <w:szCs w:val="28"/>
          <w:vertAlign w:val="superscript"/>
        </w:rPr>
        <w:t>2</w:t>
      </w:r>
      <w:r>
        <w:rPr>
          <w:rFonts w:hint="eastAsia"/>
          <w:sz w:val="28"/>
          <w:szCs w:val="28"/>
        </w:rPr>
        <w:t>，概算资源储量820万吨，</w:t>
      </w:r>
      <w:r>
        <w:rPr>
          <w:rFonts w:hint="eastAsia" w:asciiTheme="minorEastAsia" w:hAnsiTheme="minorEastAsia" w:eastAsiaTheme="minorEastAsia" w:cstheme="minorEastAsia"/>
          <w:sz w:val="28"/>
          <w:szCs w:val="28"/>
        </w:rPr>
        <w:t>设计生产规模为60万吨/年，属小型矿</w:t>
      </w:r>
      <w:r>
        <w:rPr>
          <w:rFonts w:hint="eastAsia" w:cs="宋体"/>
          <w:kern w:val="0"/>
          <w:sz w:val="28"/>
          <w:szCs w:val="28"/>
        </w:rPr>
        <w:t>山</w:t>
      </w:r>
      <w:r>
        <w:rPr>
          <w:rFonts w:hint="eastAsia" w:asciiTheme="minorEastAsia" w:hAnsiTheme="minorEastAsia" w:eastAsiaTheme="minorEastAsia" w:cstheme="minorEastAsia"/>
          <w:sz w:val="28"/>
          <w:szCs w:val="28"/>
        </w:rPr>
        <w:t>。</w:t>
      </w:r>
      <w:r>
        <w:rPr>
          <w:rFonts w:hint="eastAsia"/>
          <w:sz w:val="28"/>
          <w:szCs w:val="28"/>
        </w:rPr>
        <w:t>原矿区允采范围过小，满足不了开采终了边坡底盘最低要求，为消除地质灾害和安全隐患，矿山拟向西南扩界</w:t>
      </w:r>
      <w:r>
        <w:rPr>
          <w:rFonts w:hint="eastAsia" w:asciiTheme="minorEastAsia" w:hAnsiTheme="minorEastAsia" w:eastAsiaTheme="minorEastAsia" w:cstheme="minorEastAsia"/>
          <w:sz w:val="28"/>
          <w:szCs w:val="28"/>
        </w:rPr>
        <w:t>；规划区块不在各类保护区、生态红线、基本农田、其它禁</w:t>
      </w:r>
      <w:r>
        <w:rPr>
          <w:rFonts w:hint="eastAsia"/>
          <w:sz w:val="28"/>
          <w:szCs w:val="28"/>
        </w:rPr>
        <w:t>止开采区等范围内。</w:t>
      </w:r>
      <w:r>
        <w:rPr>
          <w:rFonts w:hint="eastAsia" w:asciiTheme="minorEastAsia" w:hAnsiTheme="minorEastAsia" w:eastAsiaTheme="minorEastAsia" w:cstheme="minorEastAsia"/>
          <w:sz w:val="28"/>
          <w:szCs w:val="28"/>
        </w:rPr>
        <w:t>规划区块</w:t>
      </w:r>
      <w:r>
        <w:rPr>
          <w:rFonts w:hint="eastAsia"/>
          <w:sz w:val="28"/>
          <w:szCs w:val="28"/>
        </w:rPr>
        <w:t>部分与国家二级公益林部分重叠，建议在调出公益林后再出让。</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⒃</w:t>
      </w:r>
      <w:r>
        <w:rPr>
          <w:rFonts w:hint="eastAsia"/>
          <w:sz w:val="28"/>
          <w:szCs w:val="28"/>
        </w:rPr>
        <w:t>耒阳市余庆街道办事处粟树村建筑石料用灰岩</w:t>
      </w:r>
      <w:r>
        <w:rPr>
          <w:rFonts w:hint="eastAsia" w:asciiTheme="minorEastAsia" w:hAnsiTheme="minorEastAsia" w:eastAsiaTheme="minorEastAsia" w:cstheme="minorEastAsia"/>
          <w:sz w:val="28"/>
          <w:szCs w:val="28"/>
        </w:rPr>
        <w:t>开采规划区块</w:t>
      </w:r>
      <w:r>
        <w:rPr>
          <w:rFonts w:hint="eastAsia" w:ascii="宋体" w:hAnsi="宋体" w:cs="宋体"/>
          <w:sz w:val="28"/>
          <w:szCs w:val="28"/>
        </w:rPr>
        <w:t>(C</w:t>
      </w:r>
      <w:r>
        <w:rPr>
          <w:rFonts w:hint="eastAsia"/>
          <w:sz w:val="28"/>
          <w:szCs w:val="28"/>
        </w:rPr>
        <w:t>Q021)。位于</w:t>
      </w:r>
      <w:r>
        <w:rPr>
          <w:rFonts w:hint="eastAsia" w:ascii="宋体" w:hAnsi="宋体" w:cs="宋体"/>
          <w:sz w:val="28"/>
          <w:szCs w:val="28"/>
        </w:rPr>
        <w:t>余庆街道办事处栗树村，</w:t>
      </w:r>
      <w:r>
        <w:rPr>
          <w:rFonts w:hint="eastAsia" w:asciiTheme="minorEastAsia" w:hAnsiTheme="minorEastAsia" w:eastAsiaTheme="minorEastAsia" w:cstheme="minorEastAsia"/>
          <w:sz w:val="28"/>
          <w:szCs w:val="28"/>
        </w:rPr>
        <w:t>有乡村公路与</w:t>
      </w:r>
      <w:r>
        <w:rPr>
          <w:rFonts w:hint="eastAsia" w:asciiTheme="minorEastAsia" w:hAnsiTheme="minorEastAsia" w:eastAsiaTheme="minorEastAsia" w:cstheme="minorEastAsia"/>
          <w:sz w:val="28"/>
          <w:szCs w:val="28"/>
          <w:lang w:eastAsia="zh-CN"/>
        </w:rPr>
        <w:t>国道G356</w:t>
      </w:r>
      <w:r>
        <w:rPr>
          <w:rFonts w:hint="eastAsia" w:asciiTheme="minorEastAsia" w:hAnsiTheme="minorEastAsia" w:eastAsiaTheme="minorEastAsia" w:cstheme="minorEastAsia"/>
          <w:sz w:val="28"/>
          <w:szCs w:val="28"/>
        </w:rPr>
        <w:t>相连</w:t>
      </w:r>
      <w:r>
        <w:rPr>
          <w:rFonts w:hint="eastAsia"/>
          <w:sz w:val="28"/>
          <w:szCs w:val="28"/>
        </w:rPr>
        <w:t>，交通便利，矿体赋存于</w:t>
      </w:r>
      <w:r>
        <w:rPr>
          <w:rFonts w:hint="eastAsia"/>
          <w:sz w:val="28"/>
          <w:szCs w:val="28"/>
          <w:lang w:val="zh-CN"/>
        </w:rPr>
        <w:t>泥盆系上统锡矿山组灰岩段，</w:t>
      </w:r>
      <w:r>
        <w:rPr>
          <w:rFonts w:hint="eastAsia"/>
          <w:sz w:val="28"/>
          <w:szCs w:val="28"/>
        </w:rPr>
        <w:t>可作建筑用石料，矿石质量较优</w:t>
      </w:r>
      <w:r>
        <w:rPr>
          <w:rFonts w:hint="eastAsia" w:ascii="宋体" w:hAnsi="宋体" w:cs="宋体"/>
          <w:sz w:val="28"/>
          <w:szCs w:val="28"/>
        </w:rPr>
        <w:t>，</w:t>
      </w:r>
      <w:r>
        <w:rPr>
          <w:rFonts w:hint="eastAsia"/>
          <w:sz w:val="28"/>
          <w:szCs w:val="28"/>
        </w:rPr>
        <w:t>调整前矿山基本情况：矿区面积</w:t>
      </w:r>
      <w:r>
        <w:rPr>
          <w:rFonts w:hint="eastAsia"/>
          <w:sz w:val="28"/>
          <w:szCs w:val="28"/>
          <w:lang w:val="zh-CN"/>
        </w:rPr>
        <w:t>0.0</w:t>
      </w:r>
      <w:r>
        <w:rPr>
          <w:rFonts w:hint="eastAsia"/>
          <w:sz w:val="28"/>
          <w:szCs w:val="28"/>
        </w:rPr>
        <w:t>801km</w:t>
      </w:r>
      <w:r>
        <w:rPr>
          <w:rFonts w:hint="eastAsia"/>
          <w:sz w:val="28"/>
          <w:szCs w:val="28"/>
          <w:vertAlign w:val="superscript"/>
        </w:rPr>
        <w:t>2</w:t>
      </w:r>
      <w:r>
        <w:rPr>
          <w:rFonts w:hint="eastAsia"/>
          <w:sz w:val="28"/>
          <w:szCs w:val="28"/>
        </w:rPr>
        <w:t>，保有资源储量184.3万吨，设计</w:t>
      </w:r>
      <w:r>
        <w:rPr>
          <w:rFonts w:hint="eastAsia" w:asciiTheme="minorEastAsia" w:hAnsiTheme="minorEastAsia" w:eastAsiaTheme="minorEastAsia" w:cstheme="minorEastAsia"/>
          <w:sz w:val="28"/>
          <w:szCs w:val="28"/>
        </w:rPr>
        <w:t>生产规模为10万吨/年。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0.1035k</w:t>
      </w:r>
      <w:r>
        <w:rPr>
          <w:rFonts w:hint="eastAsia"/>
          <w:sz w:val="28"/>
          <w:szCs w:val="28"/>
        </w:rPr>
        <w:t>m</w:t>
      </w:r>
      <w:r>
        <w:rPr>
          <w:rFonts w:hint="eastAsia"/>
          <w:sz w:val="28"/>
          <w:szCs w:val="28"/>
          <w:vertAlign w:val="superscript"/>
        </w:rPr>
        <w:t>2</w:t>
      </w:r>
      <w:r>
        <w:rPr>
          <w:rFonts w:hint="eastAsia"/>
          <w:sz w:val="28"/>
          <w:szCs w:val="28"/>
        </w:rPr>
        <w:t>，概算资源储量540万吨，</w:t>
      </w:r>
      <w:r>
        <w:rPr>
          <w:rFonts w:hint="eastAsia" w:asciiTheme="minorEastAsia" w:hAnsiTheme="minorEastAsia" w:eastAsiaTheme="minorEastAsia" w:cstheme="minorEastAsia"/>
          <w:sz w:val="28"/>
          <w:szCs w:val="28"/>
        </w:rPr>
        <w:t>设计生产规模为60万吨/年，属小型矿山。</w:t>
      </w:r>
      <w:r>
        <w:rPr>
          <w:rFonts w:hint="eastAsia" w:cs="宋体"/>
          <w:kern w:val="0"/>
          <w:sz w:val="28"/>
          <w:szCs w:val="28"/>
        </w:rPr>
        <w:t>原</w:t>
      </w:r>
      <w:r>
        <w:rPr>
          <w:rFonts w:hint="eastAsia" w:asciiTheme="minorEastAsia" w:hAnsiTheme="minorEastAsia" w:eastAsiaTheme="minorEastAsia" w:cstheme="minorEastAsia"/>
          <w:sz w:val="28"/>
          <w:szCs w:val="28"/>
        </w:rPr>
        <w:t>矿区与规划中107国道安全距离达不到，故退出往西扩</w:t>
      </w:r>
      <w:r>
        <w:rPr>
          <w:rFonts w:hint="eastAsia" w:cs="宋体"/>
          <w:kern w:val="0"/>
          <w:sz w:val="28"/>
          <w:szCs w:val="28"/>
        </w:rPr>
        <w:t>界；</w:t>
      </w:r>
      <w:r>
        <w:rPr>
          <w:rFonts w:hint="eastAsia" w:asciiTheme="minorEastAsia" w:hAnsiTheme="minorEastAsia" w:eastAsiaTheme="minorEastAsia" w:cstheme="minorEastAsia"/>
          <w:sz w:val="28"/>
          <w:szCs w:val="28"/>
        </w:rPr>
        <w:t>划区块</w:t>
      </w:r>
      <w:r>
        <w:rPr>
          <w:rFonts w:hint="eastAsia"/>
          <w:sz w:val="28"/>
          <w:szCs w:val="28"/>
        </w:rPr>
        <w:t>部分与国家二级公益林部分重叠，建议在调出公益林后再出让。</w:t>
      </w:r>
    </w:p>
    <w:p>
      <w:pPr>
        <w:topLinePunct/>
        <w:spacing w:line="360" w:lineRule="auto"/>
        <w:ind w:firstLine="560" w:firstLineChars="200"/>
        <w:rPr>
          <w:rFonts w:asciiTheme="minorEastAsia" w:hAnsiTheme="minorEastAsia" w:eastAsiaTheme="minorEastAsia" w:cstheme="minorEastAsia"/>
          <w:sz w:val="28"/>
          <w:szCs w:val="28"/>
        </w:rPr>
      </w:pPr>
      <w:r>
        <w:rPr>
          <w:rFonts w:hint="eastAsia" w:ascii="宋体" w:hAnsi="宋体" w:cs="宋体"/>
          <w:sz w:val="28"/>
          <w:szCs w:val="28"/>
        </w:rPr>
        <w:t>⒄</w:t>
      </w:r>
      <w:r>
        <w:rPr>
          <w:rFonts w:hint="eastAsia"/>
          <w:sz w:val="28"/>
          <w:szCs w:val="28"/>
        </w:rPr>
        <w:t>耒阳市导子镇流天村石屋冲建筑用花岗岩</w:t>
      </w:r>
      <w:r>
        <w:rPr>
          <w:rFonts w:hint="eastAsia" w:asciiTheme="minorEastAsia" w:hAnsiTheme="minorEastAsia" w:eastAsiaTheme="minorEastAsia" w:cstheme="minorEastAsia"/>
          <w:sz w:val="28"/>
          <w:szCs w:val="28"/>
        </w:rPr>
        <w:t>开采规划区块</w:t>
      </w:r>
      <w:r>
        <w:rPr>
          <w:rFonts w:hint="eastAsia"/>
          <w:sz w:val="28"/>
          <w:szCs w:val="28"/>
        </w:rPr>
        <w:t xml:space="preserve"> (CQ022)。位于导子镇流天村，有乡村公路与县道X023相连，交通便利，规划区块范围内及周边出露燕山早期第一次侵入花岗岩，可作建筑用石料，矿石质量较优</w:t>
      </w:r>
      <w:r>
        <w:rPr>
          <w:rFonts w:hint="eastAsia" w:ascii="宋体" w:hAnsi="宋体" w:cs="宋体"/>
          <w:sz w:val="28"/>
          <w:szCs w:val="28"/>
        </w:rPr>
        <w:t>，</w:t>
      </w:r>
      <w:r>
        <w:rPr>
          <w:rFonts w:hint="eastAsia"/>
          <w:sz w:val="28"/>
          <w:szCs w:val="28"/>
        </w:rPr>
        <w:t>调整前矿山基本情况：矿区面积</w:t>
      </w:r>
      <w:r>
        <w:rPr>
          <w:rFonts w:hint="eastAsia"/>
          <w:sz w:val="28"/>
          <w:szCs w:val="28"/>
          <w:lang w:val="zh-CN"/>
        </w:rPr>
        <w:t>0.0</w:t>
      </w:r>
      <w:r>
        <w:rPr>
          <w:rFonts w:hint="eastAsia"/>
          <w:sz w:val="28"/>
          <w:szCs w:val="28"/>
        </w:rPr>
        <w:t>998km</w:t>
      </w:r>
      <w:r>
        <w:rPr>
          <w:rFonts w:hint="eastAsia"/>
          <w:sz w:val="28"/>
          <w:szCs w:val="28"/>
          <w:vertAlign w:val="superscript"/>
        </w:rPr>
        <w:t>2</w:t>
      </w:r>
      <w:r>
        <w:rPr>
          <w:rFonts w:hint="eastAsia"/>
          <w:sz w:val="28"/>
          <w:szCs w:val="28"/>
        </w:rPr>
        <w:t>，保有资源储量255.7万吨，设计</w:t>
      </w:r>
      <w:r>
        <w:rPr>
          <w:rFonts w:hint="eastAsia" w:asciiTheme="minorEastAsia" w:hAnsiTheme="minorEastAsia" w:eastAsiaTheme="minorEastAsia" w:cstheme="minorEastAsia"/>
          <w:sz w:val="28"/>
          <w:szCs w:val="28"/>
        </w:rPr>
        <w:t>生产规模为30万吨/年。</w:t>
      </w:r>
      <w:r>
        <w:rPr>
          <w:rFonts w:hint="eastAsia"/>
          <w:sz w:val="28"/>
          <w:szCs w:val="28"/>
        </w:rPr>
        <w:t>调整后区块基本情况：矿区面积</w:t>
      </w:r>
      <w:r>
        <w:rPr>
          <w:rFonts w:hint="eastAsia" w:asciiTheme="minorEastAsia" w:hAnsiTheme="minorEastAsia" w:eastAsiaTheme="minorEastAsia" w:cstheme="minorEastAsia"/>
          <w:sz w:val="28"/>
          <w:szCs w:val="28"/>
        </w:rPr>
        <w:t>0.1539k</w:t>
      </w:r>
      <w:r>
        <w:rPr>
          <w:rFonts w:hint="eastAsia"/>
          <w:sz w:val="28"/>
          <w:szCs w:val="28"/>
        </w:rPr>
        <w:t>m</w:t>
      </w:r>
      <w:r>
        <w:rPr>
          <w:rFonts w:hint="eastAsia"/>
          <w:sz w:val="28"/>
          <w:szCs w:val="28"/>
          <w:vertAlign w:val="superscript"/>
        </w:rPr>
        <w:t>2</w:t>
      </w:r>
      <w:r>
        <w:rPr>
          <w:rFonts w:hint="eastAsia"/>
          <w:sz w:val="28"/>
          <w:szCs w:val="28"/>
        </w:rPr>
        <w:t>，概算资源储量1300万吨，</w:t>
      </w:r>
      <w:r>
        <w:rPr>
          <w:rFonts w:hint="eastAsia" w:asciiTheme="minorEastAsia" w:hAnsiTheme="minorEastAsia" w:eastAsiaTheme="minorEastAsia" w:cstheme="minorEastAsia"/>
          <w:sz w:val="28"/>
          <w:szCs w:val="28"/>
        </w:rPr>
        <w:t>设计生产规模为100万吨/年，属中型矿山。</w:t>
      </w:r>
      <w:r>
        <w:rPr>
          <w:rFonts w:hint="eastAsia" w:cs="宋体"/>
          <w:kern w:val="0"/>
          <w:sz w:val="28"/>
          <w:szCs w:val="28"/>
        </w:rPr>
        <w:t>原矿区西面一角和东面存在半边山开采，为减少开采边坡，消除地质灾害和安全隐患，矿山拟向西面和东面方向扩界，规</w:t>
      </w:r>
      <w:r>
        <w:rPr>
          <w:rFonts w:hint="eastAsia" w:asciiTheme="minorEastAsia" w:hAnsiTheme="minorEastAsia" w:eastAsiaTheme="minorEastAsia" w:cstheme="minorEastAsia"/>
          <w:sz w:val="28"/>
          <w:szCs w:val="28"/>
        </w:rPr>
        <w:t>划区块</w:t>
      </w:r>
      <w:r>
        <w:rPr>
          <w:rFonts w:hint="eastAsia"/>
          <w:sz w:val="28"/>
          <w:szCs w:val="28"/>
        </w:rPr>
        <w:t>部分与省级公益林部分重叠，建议在调出公益林后再出让。</w:t>
      </w:r>
    </w:p>
    <w:p>
      <w:pPr>
        <w:pStyle w:val="15"/>
        <w:widowControl/>
        <w:spacing w:before="150" w:beforeAutospacing="0" w:afterAutospacing="0" w:line="360" w:lineRule="auto"/>
        <w:jc w:val="both"/>
        <w:rPr>
          <w:rStyle w:val="20"/>
          <w:rFonts w:ascii="Arial" w:hAnsi="Arial" w:cs="Arial"/>
        </w:rPr>
      </w:pPr>
      <w:r>
        <w:rPr>
          <w:rStyle w:val="20"/>
          <w:rFonts w:hint="eastAsia" w:ascii="Arial" w:hAnsi="Arial" w:cs="Arial"/>
        </w:rPr>
        <w:t>专栏八               耒阳市扩界采矿权名单一览表</w:t>
      </w:r>
    </w:p>
    <w:tbl>
      <w:tblPr>
        <w:tblStyle w:val="17"/>
        <w:tblW w:w="5924" w:type="pct"/>
        <w:jc w:val="center"/>
        <w:tblLayout w:type="fixed"/>
        <w:tblCellMar>
          <w:top w:w="0" w:type="dxa"/>
          <w:left w:w="108" w:type="dxa"/>
          <w:bottom w:w="0" w:type="dxa"/>
          <w:right w:w="108" w:type="dxa"/>
        </w:tblCellMar>
      </w:tblPr>
      <w:tblGrid>
        <w:gridCol w:w="476"/>
        <w:gridCol w:w="778"/>
        <w:gridCol w:w="1653"/>
        <w:gridCol w:w="1065"/>
        <w:gridCol w:w="1545"/>
        <w:gridCol w:w="1252"/>
        <w:gridCol w:w="1238"/>
        <w:gridCol w:w="1226"/>
        <w:gridCol w:w="864"/>
      </w:tblGrid>
      <w:tr>
        <w:tblPrEx>
          <w:tblCellMar>
            <w:top w:w="0" w:type="dxa"/>
            <w:left w:w="108" w:type="dxa"/>
            <w:bottom w:w="0" w:type="dxa"/>
            <w:right w:w="108" w:type="dxa"/>
          </w:tblCellMar>
        </w:tblPrEx>
        <w:trPr>
          <w:trHeight w:val="1290" w:hRule="atLeast"/>
          <w:tblHeader/>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序号</w:t>
            </w:r>
          </w:p>
        </w:tc>
        <w:tc>
          <w:tcPr>
            <w:tcW w:w="385"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图面</w:t>
            </w:r>
          </w:p>
          <w:p>
            <w:pPr>
              <w:pStyle w:val="15"/>
              <w:widowControl/>
              <w:jc w:val="center"/>
              <w:rPr>
                <w:rFonts w:ascii="宋体" w:hAnsi="宋体" w:cs="宋体"/>
                <w:sz w:val="21"/>
                <w:szCs w:val="21"/>
              </w:rPr>
            </w:pPr>
            <w:r>
              <w:rPr>
                <w:rFonts w:hint="eastAsia" w:ascii="宋体" w:hAnsi="宋体" w:cs="宋体"/>
                <w:sz w:val="21"/>
                <w:szCs w:val="21"/>
              </w:rPr>
              <w:t>编号</w:t>
            </w:r>
          </w:p>
        </w:tc>
        <w:tc>
          <w:tcPr>
            <w:tcW w:w="81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扩界矿山名称</w:t>
            </w:r>
          </w:p>
        </w:tc>
        <w:tc>
          <w:tcPr>
            <w:tcW w:w="52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开采矿种</w:t>
            </w:r>
          </w:p>
          <w:p>
            <w:pPr>
              <w:pStyle w:val="15"/>
              <w:widowControl/>
              <w:jc w:val="center"/>
              <w:rPr>
                <w:rFonts w:ascii="宋体" w:hAnsi="宋体" w:cs="宋体"/>
                <w:sz w:val="21"/>
                <w:szCs w:val="21"/>
              </w:rPr>
            </w:pPr>
          </w:p>
        </w:tc>
        <w:tc>
          <w:tcPr>
            <w:tcW w:w="764"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采矿许可证号</w:t>
            </w:r>
          </w:p>
        </w:tc>
        <w:tc>
          <w:tcPr>
            <w:tcW w:w="620"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有效期截止日期</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保留扩界前、后矿区面积（Km</w:t>
            </w:r>
            <w:r>
              <w:rPr>
                <w:rFonts w:hint="eastAsia" w:ascii="宋体" w:hAnsi="宋体" w:cs="宋体"/>
                <w:sz w:val="21"/>
                <w:szCs w:val="21"/>
                <w:vertAlign w:val="superscript"/>
              </w:rPr>
              <w:t>2</w:t>
            </w:r>
            <w:r>
              <w:rPr>
                <w:rFonts w:hint="eastAsia" w:ascii="宋体" w:hAnsi="宋体" w:cs="宋体"/>
                <w:sz w:val="21"/>
                <w:szCs w:val="21"/>
              </w:rPr>
              <w:t>）</w:t>
            </w:r>
          </w:p>
        </w:tc>
        <w:tc>
          <w:tcPr>
            <w:tcW w:w="60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保留扩界前、后保有资源储（万吨）</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生产规模（万吨/年）</w:t>
            </w:r>
          </w:p>
        </w:tc>
      </w:tr>
      <w:tr>
        <w:tblPrEx>
          <w:tblCellMar>
            <w:top w:w="0" w:type="dxa"/>
            <w:left w:w="108" w:type="dxa"/>
            <w:bottom w:w="0" w:type="dxa"/>
            <w:right w:w="108" w:type="dxa"/>
          </w:tblCellMar>
        </w:tblPrEx>
        <w:trPr>
          <w:trHeight w:val="90"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w:t>
            </w:r>
          </w:p>
        </w:tc>
        <w:tc>
          <w:tcPr>
            <w:tcW w:w="385"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CQ005</w:t>
            </w:r>
          </w:p>
        </w:tc>
        <w:tc>
          <w:tcPr>
            <w:tcW w:w="81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耒阳市联益建材有限公司朝阳石灰岩矿</w:t>
            </w:r>
          </w:p>
        </w:tc>
        <w:tc>
          <w:tcPr>
            <w:tcW w:w="52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C4304812017097130145128</w:t>
            </w:r>
          </w:p>
        </w:tc>
        <w:tc>
          <w:tcPr>
            <w:tcW w:w="620"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2022/09/30</w:t>
            </w:r>
          </w:p>
        </w:tc>
        <w:tc>
          <w:tcPr>
            <w:tcW w:w="613"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0.0284/0.1134</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129.5/780</w:t>
            </w:r>
          </w:p>
        </w:tc>
        <w:tc>
          <w:tcPr>
            <w:tcW w:w="428"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60</w:t>
            </w:r>
          </w:p>
        </w:tc>
      </w:tr>
      <w:tr>
        <w:tblPrEx>
          <w:tblCellMar>
            <w:top w:w="0" w:type="dxa"/>
            <w:left w:w="108" w:type="dxa"/>
            <w:bottom w:w="0" w:type="dxa"/>
            <w:right w:w="108" w:type="dxa"/>
          </w:tblCellMar>
        </w:tblPrEx>
        <w:trPr>
          <w:trHeight w:val="920" w:hRule="atLeast"/>
          <w:jc w:val="center"/>
        </w:trPr>
        <w:tc>
          <w:tcPr>
            <w:tcW w:w="235" w:type="pct"/>
            <w:tcBorders>
              <w:top w:val="nil"/>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w:t>
            </w:r>
          </w:p>
        </w:tc>
        <w:tc>
          <w:tcPr>
            <w:tcW w:w="385"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CQ006</w:t>
            </w:r>
          </w:p>
        </w:tc>
        <w:tc>
          <w:tcPr>
            <w:tcW w:w="81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耒阳市东湖乡枣子村采石场</w:t>
            </w:r>
          </w:p>
        </w:tc>
        <w:tc>
          <w:tcPr>
            <w:tcW w:w="52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C4304812011017130104397</w:t>
            </w:r>
          </w:p>
        </w:tc>
        <w:tc>
          <w:tcPr>
            <w:tcW w:w="620"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2022/09/30</w:t>
            </w:r>
          </w:p>
        </w:tc>
        <w:tc>
          <w:tcPr>
            <w:tcW w:w="613"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0.0138/0.114</w:t>
            </w:r>
          </w:p>
        </w:tc>
        <w:tc>
          <w:tcPr>
            <w:tcW w:w="60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50.6（2019年出让储量206.8万吨）/1060</w:t>
            </w:r>
          </w:p>
        </w:tc>
        <w:tc>
          <w:tcPr>
            <w:tcW w:w="42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100</w:t>
            </w:r>
          </w:p>
        </w:tc>
      </w:tr>
      <w:tr>
        <w:tblPrEx>
          <w:tblCellMar>
            <w:top w:w="0" w:type="dxa"/>
            <w:left w:w="108" w:type="dxa"/>
            <w:bottom w:w="0" w:type="dxa"/>
            <w:right w:w="108" w:type="dxa"/>
          </w:tblCellMar>
        </w:tblPrEx>
        <w:trPr>
          <w:trHeight w:val="90" w:hRule="atLeast"/>
          <w:jc w:val="center"/>
        </w:trPr>
        <w:tc>
          <w:tcPr>
            <w:tcW w:w="235" w:type="pct"/>
            <w:tcBorders>
              <w:top w:val="nil"/>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w:t>
            </w:r>
          </w:p>
        </w:tc>
        <w:tc>
          <w:tcPr>
            <w:tcW w:w="385"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CQ007</w:t>
            </w:r>
          </w:p>
        </w:tc>
        <w:tc>
          <w:tcPr>
            <w:tcW w:w="81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湖南省润冠实业科技有限公司润冠石灰岩矿</w:t>
            </w:r>
          </w:p>
        </w:tc>
        <w:tc>
          <w:tcPr>
            <w:tcW w:w="52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C4304812016017130141025</w:t>
            </w:r>
          </w:p>
        </w:tc>
        <w:tc>
          <w:tcPr>
            <w:tcW w:w="620"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2021/01/07</w:t>
            </w:r>
          </w:p>
        </w:tc>
        <w:tc>
          <w:tcPr>
            <w:tcW w:w="613"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0.012/0.182</w:t>
            </w:r>
          </w:p>
        </w:tc>
        <w:tc>
          <w:tcPr>
            <w:tcW w:w="60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71.5/1028</w:t>
            </w:r>
          </w:p>
        </w:tc>
        <w:tc>
          <w:tcPr>
            <w:tcW w:w="42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4</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CQ008</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耒阳市长坪乡高峰四组石灰岩矿</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C4304812016087130142642</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2021/08/10</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0.055/0.2338</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348.9/2800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5</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CQ009</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耒阳市杨塘兴业石材有限公司杨塘兴业石灰岩矿</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C4304812015107130139900</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2020/10/09</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0.0157/0.048</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101.8/330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CQ010</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耒阳市泰安采石场有限公司</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C4304812010087130072747</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2020/12/03</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0.0101/0.1761</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30.5/1220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7</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CQ011</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北诚二矿</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C4304812018097100146820</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2023/09/28</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0.0811/0.1203</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349.1/1230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8</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CQ013</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耒阳市南桥晨磊建材有限公司晨磊石灰岩矿</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C4304812016107130143150</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2021/10/26</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0.0234/0.1485</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207.3/1100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9</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CQ014</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耒阳市大和圩乡春江村玄武岩矿</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建筑用玄武岩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C4304812015107130140024</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2020/10/08</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0.0134/0.0368</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62.7/149</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CQ015</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耒阳市华源石材有限公司西冲石灰岩矿</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C4304812017107130145189</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2020/10/12</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0.0124/0.1203</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117.4/730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11</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CQ016</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耒阳市枫林建材有限公司枫林砖厂</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砖瓦用页岩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C4304812018117100147221</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2021/11/21</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0.0552/0.071</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255.8/210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12</w:t>
            </w:r>
          </w:p>
        </w:tc>
        <w:tc>
          <w:tcPr>
            <w:tcW w:w="38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CQ017</w:t>
            </w:r>
          </w:p>
        </w:tc>
        <w:tc>
          <w:tcPr>
            <w:tcW w:w="81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耒阳市天威建材有限公司横岭石灰岩矿</w:t>
            </w:r>
          </w:p>
        </w:tc>
        <w:tc>
          <w:tcPr>
            <w:tcW w:w="527"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C4304812015107130139902</w:t>
            </w:r>
          </w:p>
        </w:tc>
        <w:tc>
          <w:tcPr>
            <w:tcW w:w="620"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2020/10/09</w:t>
            </w:r>
          </w:p>
        </w:tc>
        <w:tc>
          <w:tcPr>
            <w:tcW w:w="613"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0.0382/0.0735</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163.8/600</w:t>
            </w:r>
          </w:p>
        </w:tc>
        <w:tc>
          <w:tcPr>
            <w:tcW w:w="428"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60</w:t>
            </w:r>
          </w:p>
        </w:tc>
      </w:tr>
      <w:tr>
        <w:tblPrEx>
          <w:tblCellMar>
            <w:top w:w="0" w:type="dxa"/>
            <w:left w:w="108" w:type="dxa"/>
            <w:bottom w:w="0" w:type="dxa"/>
            <w:right w:w="108" w:type="dxa"/>
          </w:tblCellMar>
        </w:tblPrEx>
        <w:trPr>
          <w:trHeight w:val="722" w:hRule="atLeast"/>
          <w:jc w:val="center"/>
        </w:trPr>
        <w:tc>
          <w:tcPr>
            <w:tcW w:w="235" w:type="pct"/>
            <w:tcBorders>
              <w:top w:val="nil"/>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13</w:t>
            </w:r>
          </w:p>
        </w:tc>
        <w:tc>
          <w:tcPr>
            <w:tcW w:w="385"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CQ018</w:t>
            </w:r>
          </w:p>
        </w:tc>
        <w:tc>
          <w:tcPr>
            <w:tcW w:w="81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耒阳市金磊石材有限公司金磊石灰岩矿</w:t>
            </w:r>
          </w:p>
        </w:tc>
        <w:tc>
          <w:tcPr>
            <w:tcW w:w="52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C4304812016057130141985</w:t>
            </w:r>
          </w:p>
        </w:tc>
        <w:tc>
          <w:tcPr>
            <w:tcW w:w="620"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2021/05/12</w:t>
            </w:r>
          </w:p>
        </w:tc>
        <w:tc>
          <w:tcPr>
            <w:tcW w:w="613"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0.0436/0.0683</w:t>
            </w:r>
          </w:p>
        </w:tc>
        <w:tc>
          <w:tcPr>
            <w:tcW w:w="60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246.5/700</w:t>
            </w:r>
          </w:p>
        </w:tc>
        <w:tc>
          <w:tcPr>
            <w:tcW w:w="42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60</w:t>
            </w:r>
          </w:p>
        </w:tc>
      </w:tr>
      <w:tr>
        <w:tblPrEx>
          <w:tblCellMar>
            <w:top w:w="0" w:type="dxa"/>
            <w:left w:w="108" w:type="dxa"/>
            <w:bottom w:w="0" w:type="dxa"/>
            <w:right w:w="108" w:type="dxa"/>
          </w:tblCellMar>
        </w:tblPrEx>
        <w:trPr>
          <w:trHeight w:val="722" w:hRule="atLeast"/>
          <w:jc w:val="center"/>
        </w:trPr>
        <w:tc>
          <w:tcPr>
            <w:tcW w:w="235" w:type="pct"/>
            <w:tcBorders>
              <w:top w:val="nil"/>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14</w:t>
            </w:r>
          </w:p>
        </w:tc>
        <w:tc>
          <w:tcPr>
            <w:tcW w:w="385"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CQ019</w:t>
            </w:r>
          </w:p>
        </w:tc>
        <w:tc>
          <w:tcPr>
            <w:tcW w:w="81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耒阳市兴旺石业有限公司兴旺石灰岩矿</w:t>
            </w:r>
          </w:p>
        </w:tc>
        <w:tc>
          <w:tcPr>
            <w:tcW w:w="52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C4304812015087130139649</w:t>
            </w:r>
          </w:p>
        </w:tc>
        <w:tc>
          <w:tcPr>
            <w:tcW w:w="620"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2020/08/24</w:t>
            </w:r>
          </w:p>
        </w:tc>
        <w:tc>
          <w:tcPr>
            <w:tcW w:w="613"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0.0191/0.0512</w:t>
            </w:r>
          </w:p>
        </w:tc>
        <w:tc>
          <w:tcPr>
            <w:tcW w:w="60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130.5/377</w:t>
            </w:r>
          </w:p>
        </w:tc>
        <w:tc>
          <w:tcPr>
            <w:tcW w:w="42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30</w:t>
            </w:r>
          </w:p>
        </w:tc>
      </w:tr>
      <w:tr>
        <w:tblPrEx>
          <w:tblCellMar>
            <w:top w:w="0" w:type="dxa"/>
            <w:left w:w="108" w:type="dxa"/>
            <w:bottom w:w="0" w:type="dxa"/>
            <w:right w:w="108" w:type="dxa"/>
          </w:tblCellMar>
        </w:tblPrEx>
        <w:trPr>
          <w:trHeight w:val="722" w:hRule="atLeast"/>
          <w:jc w:val="center"/>
        </w:trPr>
        <w:tc>
          <w:tcPr>
            <w:tcW w:w="235" w:type="pct"/>
            <w:tcBorders>
              <w:top w:val="nil"/>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15</w:t>
            </w:r>
          </w:p>
        </w:tc>
        <w:tc>
          <w:tcPr>
            <w:tcW w:w="385"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CQ020</w:t>
            </w:r>
          </w:p>
        </w:tc>
        <w:tc>
          <w:tcPr>
            <w:tcW w:w="81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耒阳市威狮建材有限公司狮子岭石灰岩矿</w:t>
            </w:r>
          </w:p>
        </w:tc>
        <w:tc>
          <w:tcPr>
            <w:tcW w:w="52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C4304812015097130139734</w:t>
            </w:r>
          </w:p>
        </w:tc>
        <w:tc>
          <w:tcPr>
            <w:tcW w:w="620"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2022/09/22</w:t>
            </w:r>
          </w:p>
        </w:tc>
        <w:tc>
          <w:tcPr>
            <w:tcW w:w="613"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0.0119/0.1004</w:t>
            </w:r>
          </w:p>
        </w:tc>
        <w:tc>
          <w:tcPr>
            <w:tcW w:w="60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53.2/820</w:t>
            </w:r>
          </w:p>
        </w:tc>
        <w:tc>
          <w:tcPr>
            <w:tcW w:w="42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60</w:t>
            </w:r>
          </w:p>
        </w:tc>
      </w:tr>
      <w:tr>
        <w:tblPrEx>
          <w:tblCellMar>
            <w:top w:w="0" w:type="dxa"/>
            <w:left w:w="108" w:type="dxa"/>
            <w:bottom w:w="0" w:type="dxa"/>
            <w:right w:w="108" w:type="dxa"/>
          </w:tblCellMar>
        </w:tblPrEx>
        <w:trPr>
          <w:trHeight w:val="722" w:hRule="atLeast"/>
          <w:jc w:val="center"/>
        </w:trPr>
        <w:tc>
          <w:tcPr>
            <w:tcW w:w="235" w:type="pct"/>
            <w:tcBorders>
              <w:top w:val="nil"/>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16</w:t>
            </w:r>
          </w:p>
        </w:tc>
        <w:tc>
          <w:tcPr>
            <w:tcW w:w="385" w:type="pct"/>
            <w:tcBorders>
              <w:top w:val="nil"/>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CQ021</w:t>
            </w:r>
          </w:p>
        </w:tc>
        <w:tc>
          <w:tcPr>
            <w:tcW w:w="81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耒阳市余庆乡栗树采石场</w:t>
            </w:r>
          </w:p>
        </w:tc>
        <w:tc>
          <w:tcPr>
            <w:tcW w:w="52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建筑石料用灰岩</w:t>
            </w:r>
          </w:p>
        </w:tc>
        <w:tc>
          <w:tcPr>
            <w:tcW w:w="764"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C4304812010017130052525</w:t>
            </w:r>
          </w:p>
        </w:tc>
        <w:tc>
          <w:tcPr>
            <w:tcW w:w="620"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2021/09/26</w:t>
            </w:r>
          </w:p>
        </w:tc>
        <w:tc>
          <w:tcPr>
            <w:tcW w:w="613"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0.0801/0.1035</w:t>
            </w:r>
          </w:p>
        </w:tc>
        <w:tc>
          <w:tcPr>
            <w:tcW w:w="607"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184.3/540</w:t>
            </w:r>
          </w:p>
        </w:tc>
        <w:tc>
          <w:tcPr>
            <w:tcW w:w="428" w:type="pct"/>
            <w:tcBorders>
              <w:top w:val="nil"/>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60</w:t>
            </w:r>
          </w:p>
        </w:tc>
      </w:tr>
      <w:tr>
        <w:tblPrEx>
          <w:tblCellMar>
            <w:top w:w="0" w:type="dxa"/>
            <w:left w:w="108" w:type="dxa"/>
            <w:bottom w:w="0" w:type="dxa"/>
            <w:right w:w="108" w:type="dxa"/>
          </w:tblCellMar>
        </w:tblPrEx>
        <w:trPr>
          <w:trHeight w:val="722" w:hRule="atLeast"/>
          <w:jc w:val="center"/>
        </w:trPr>
        <w:tc>
          <w:tcPr>
            <w:tcW w:w="235" w:type="pct"/>
            <w:tcBorders>
              <w:top w:val="single" w:color="auto" w:sz="4" w:space="0"/>
              <w:left w:val="single" w:color="auto" w:sz="4" w:space="0"/>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17</w:t>
            </w:r>
          </w:p>
        </w:tc>
        <w:tc>
          <w:tcPr>
            <w:tcW w:w="385"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color w:val="FF0000"/>
                <w:sz w:val="21"/>
                <w:szCs w:val="21"/>
              </w:rPr>
            </w:pPr>
            <w:r>
              <w:rPr>
                <w:rFonts w:hint="eastAsia" w:ascii="宋体" w:hAnsi="宋体" w:cs="宋体"/>
                <w:color w:val="FF0000"/>
                <w:sz w:val="21"/>
                <w:szCs w:val="21"/>
              </w:rPr>
              <w:t>CQ022</w:t>
            </w:r>
          </w:p>
        </w:tc>
        <w:tc>
          <w:tcPr>
            <w:tcW w:w="81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耒阳宝磊建材有限公司石屋冲矿</w:t>
            </w:r>
          </w:p>
        </w:tc>
        <w:tc>
          <w:tcPr>
            <w:tcW w:w="52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建筑用花岗岩</w:t>
            </w:r>
          </w:p>
        </w:tc>
        <w:tc>
          <w:tcPr>
            <w:tcW w:w="764"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C4304812017107130145289</w:t>
            </w:r>
          </w:p>
        </w:tc>
        <w:tc>
          <w:tcPr>
            <w:tcW w:w="620"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2022/10/30</w:t>
            </w:r>
          </w:p>
        </w:tc>
        <w:tc>
          <w:tcPr>
            <w:tcW w:w="613"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0.0998/0.1539</w:t>
            </w:r>
          </w:p>
        </w:tc>
        <w:tc>
          <w:tcPr>
            <w:tcW w:w="607"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255.7/1300</w:t>
            </w:r>
          </w:p>
        </w:tc>
        <w:tc>
          <w:tcPr>
            <w:tcW w:w="428" w:type="pct"/>
            <w:tcBorders>
              <w:top w:val="single" w:color="auto" w:sz="4" w:space="0"/>
              <w:left w:val="nil"/>
              <w:bottom w:val="single" w:color="auto" w:sz="4" w:space="0"/>
              <w:right w:val="single" w:color="auto" w:sz="4" w:space="0"/>
            </w:tcBorders>
            <w:vAlign w:val="center"/>
          </w:tcPr>
          <w:p>
            <w:pPr>
              <w:pStyle w:val="15"/>
              <w:widowControl/>
              <w:jc w:val="center"/>
              <w:rPr>
                <w:rFonts w:ascii="宋体" w:hAnsi="宋体" w:cs="宋体"/>
                <w:sz w:val="21"/>
                <w:szCs w:val="21"/>
              </w:rPr>
            </w:pPr>
            <w:r>
              <w:rPr>
                <w:rFonts w:hint="eastAsia" w:ascii="宋体" w:hAnsi="宋体" w:cs="宋体"/>
                <w:sz w:val="21"/>
                <w:szCs w:val="21"/>
              </w:rPr>
              <w:t>100</w:t>
            </w:r>
          </w:p>
        </w:tc>
      </w:tr>
    </w:tbl>
    <w:p>
      <w:pPr>
        <w:pStyle w:val="5"/>
        <w:ind w:firstLine="562" w:firstLineChars="200"/>
        <w:rPr>
          <w:rFonts w:hint="default"/>
          <w:sz w:val="28"/>
          <w:szCs w:val="28"/>
        </w:rPr>
      </w:pPr>
      <w:bookmarkStart w:id="18" w:name="_Toc19355"/>
      <w:r>
        <w:rPr>
          <w:sz w:val="28"/>
          <w:szCs w:val="28"/>
        </w:rPr>
        <w:t>(六)限期退出矿山</w:t>
      </w:r>
      <w:bookmarkEnd w:id="18"/>
    </w:p>
    <w:p>
      <w:pPr>
        <w:ind w:firstLine="560" w:firstLineChars="200"/>
        <w:jc w:val="left"/>
        <w:rPr>
          <w:sz w:val="28"/>
          <w:szCs w:val="28"/>
        </w:rPr>
      </w:pPr>
      <w:r>
        <w:rPr>
          <w:rFonts w:hint="eastAsia"/>
          <w:sz w:val="28"/>
          <w:szCs w:val="28"/>
        </w:rPr>
        <w:t>1、限期退出矿山核定标准</w:t>
      </w:r>
    </w:p>
    <w:p>
      <w:pPr>
        <w:ind w:firstLine="560" w:firstLineChars="200"/>
        <w:jc w:val="left"/>
        <w:rPr>
          <w:sz w:val="28"/>
          <w:szCs w:val="28"/>
        </w:rPr>
      </w:pPr>
      <w:r>
        <w:rPr>
          <w:rFonts w:hint="eastAsia"/>
          <w:sz w:val="28"/>
          <w:szCs w:val="28"/>
        </w:rPr>
        <w:t>截止2018年12月底，采矿许可证在有效期内或非因自身原因导致过期，但不符合单独保留条件，又无法参与整合，且取得采矿、环保、安全生产许可的合法砂石土矿，列入限期退出矿山名单，可允许限期最迟至2021年底退出。</w:t>
      </w:r>
    </w:p>
    <w:p>
      <w:pPr>
        <w:ind w:firstLine="560" w:firstLineChars="200"/>
        <w:jc w:val="left"/>
        <w:rPr>
          <w:sz w:val="28"/>
          <w:szCs w:val="28"/>
        </w:rPr>
      </w:pPr>
      <w:r>
        <w:rPr>
          <w:rFonts w:hint="eastAsia"/>
          <w:sz w:val="28"/>
          <w:szCs w:val="28"/>
        </w:rPr>
        <w:t>2、限期退出矿山名单</w:t>
      </w:r>
    </w:p>
    <w:p>
      <w:pPr>
        <w:ind w:firstLine="560" w:firstLineChars="200"/>
        <w:jc w:val="left"/>
        <w:rPr>
          <w:sz w:val="28"/>
          <w:szCs w:val="28"/>
        </w:rPr>
      </w:pPr>
      <w:r>
        <w:rPr>
          <w:rFonts w:hint="eastAsia"/>
          <w:sz w:val="28"/>
          <w:szCs w:val="28"/>
        </w:rPr>
        <w:t>全市共有限期退出矿山3个，见专栏九及附表7。</w:t>
      </w:r>
    </w:p>
    <w:p>
      <w:pPr>
        <w:pStyle w:val="15"/>
        <w:widowControl/>
        <w:spacing w:before="150" w:beforeAutospacing="0" w:afterAutospacing="0" w:line="360" w:lineRule="auto"/>
        <w:jc w:val="both"/>
        <w:rPr>
          <w:rStyle w:val="20"/>
          <w:rFonts w:ascii="Arial" w:hAnsi="Arial" w:cs="Arial"/>
        </w:rPr>
      </w:pPr>
      <w:r>
        <w:rPr>
          <w:rStyle w:val="20"/>
          <w:rFonts w:hint="eastAsia" w:ascii="Arial" w:hAnsi="Arial" w:cs="Arial"/>
          <w:sz w:val="21"/>
          <w:szCs w:val="22"/>
        </w:rPr>
        <w:t>专栏九</w:t>
      </w:r>
      <w:r>
        <w:rPr>
          <w:rStyle w:val="20"/>
          <w:rFonts w:hint="eastAsia" w:ascii="Arial" w:hAnsi="Arial" w:cs="Arial"/>
        </w:rPr>
        <w:t xml:space="preserve">               耒阳市限期退出砂石土矿采矿权名单一览表</w:t>
      </w:r>
    </w:p>
    <w:tbl>
      <w:tblPr>
        <w:tblStyle w:val="17"/>
        <w:tblW w:w="9801" w:type="dxa"/>
        <w:jc w:val="center"/>
        <w:tblLayout w:type="autofit"/>
        <w:tblCellMar>
          <w:top w:w="0" w:type="dxa"/>
          <w:left w:w="0" w:type="dxa"/>
          <w:bottom w:w="0" w:type="dxa"/>
          <w:right w:w="0" w:type="dxa"/>
        </w:tblCellMar>
      </w:tblPr>
      <w:tblGrid>
        <w:gridCol w:w="530"/>
        <w:gridCol w:w="716"/>
        <w:gridCol w:w="1456"/>
        <w:gridCol w:w="2516"/>
        <w:gridCol w:w="1163"/>
        <w:gridCol w:w="1219"/>
        <w:gridCol w:w="985"/>
        <w:gridCol w:w="1216"/>
      </w:tblGrid>
      <w:tr>
        <w:tblPrEx>
          <w:tblCellMar>
            <w:top w:w="0" w:type="dxa"/>
            <w:left w:w="0" w:type="dxa"/>
            <w:bottom w:w="0" w:type="dxa"/>
            <w:right w:w="0" w:type="dxa"/>
          </w:tblCellMar>
        </w:tblPrEx>
        <w:trPr>
          <w:trHeight w:val="286" w:hRule="atLeast"/>
          <w:jc w:val="center"/>
        </w:trPr>
        <w:tc>
          <w:tcPr>
            <w:tcW w:w="58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序号</w:t>
            </w:r>
          </w:p>
        </w:tc>
        <w:tc>
          <w:tcPr>
            <w:tcW w:w="71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图面</w:t>
            </w:r>
          </w:p>
          <w:p>
            <w:pPr>
              <w:pStyle w:val="15"/>
              <w:widowControl/>
              <w:rPr>
                <w:rFonts w:ascii="宋体" w:hAnsi="宋体" w:cs="宋体"/>
                <w:kern w:val="2"/>
                <w:sz w:val="20"/>
                <w:szCs w:val="20"/>
              </w:rPr>
            </w:pPr>
            <w:r>
              <w:rPr>
                <w:rFonts w:hint="eastAsia" w:ascii="宋体" w:hAnsi="宋体" w:cs="宋体"/>
                <w:kern w:val="2"/>
                <w:sz w:val="20"/>
                <w:szCs w:val="20"/>
              </w:rPr>
              <w:t>编号</w:t>
            </w:r>
          </w:p>
        </w:tc>
        <w:tc>
          <w:tcPr>
            <w:tcW w:w="197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限期退出矿山名称</w:t>
            </w:r>
          </w:p>
        </w:tc>
        <w:tc>
          <w:tcPr>
            <w:tcW w:w="144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采矿许可证号</w:t>
            </w:r>
          </w:p>
        </w:tc>
        <w:tc>
          <w:tcPr>
            <w:tcW w:w="14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有效期截止日期</w:t>
            </w:r>
          </w:p>
        </w:tc>
        <w:tc>
          <w:tcPr>
            <w:tcW w:w="14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矿区面积</w:t>
            </w:r>
          </w:p>
        </w:tc>
        <w:tc>
          <w:tcPr>
            <w:tcW w:w="11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lang w:val="zh-CN"/>
              </w:rPr>
              <w:t>保有资源储量</w:t>
            </w:r>
          </w:p>
        </w:tc>
        <w:tc>
          <w:tcPr>
            <w:tcW w:w="11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lang w:val="zh-CN"/>
              </w:rPr>
            </w:pPr>
            <w:r>
              <w:rPr>
                <w:rFonts w:hint="eastAsia" w:ascii="宋体" w:hAnsi="宋体" w:cs="宋体"/>
                <w:kern w:val="2"/>
                <w:sz w:val="20"/>
                <w:szCs w:val="20"/>
                <w:lang w:val="zh-CN"/>
              </w:rPr>
              <w:t>退出截止时间</w:t>
            </w:r>
          </w:p>
        </w:tc>
      </w:tr>
      <w:tr>
        <w:tblPrEx>
          <w:tblCellMar>
            <w:top w:w="0" w:type="dxa"/>
            <w:left w:w="0" w:type="dxa"/>
            <w:bottom w:w="0" w:type="dxa"/>
            <w:right w:w="0" w:type="dxa"/>
          </w:tblCellMar>
        </w:tblPrEx>
        <w:trPr>
          <w:trHeight w:val="286" w:hRule="atLeast"/>
          <w:jc w:val="center"/>
        </w:trPr>
        <w:tc>
          <w:tcPr>
            <w:tcW w:w="58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1</w:t>
            </w:r>
          </w:p>
        </w:tc>
        <w:tc>
          <w:tcPr>
            <w:tcW w:w="71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C</w:t>
            </w:r>
            <w:r>
              <w:rPr>
                <w:rFonts w:hint="eastAsia" w:ascii="宋体" w:hAnsi="宋体" w:cs="宋体"/>
                <w:kern w:val="2"/>
                <w:sz w:val="20"/>
                <w:szCs w:val="20"/>
                <w:lang w:val="zh-CN"/>
              </w:rPr>
              <w:t>Q</w:t>
            </w:r>
            <w:r>
              <w:rPr>
                <w:rFonts w:hint="eastAsia" w:ascii="宋体" w:hAnsi="宋体" w:cs="宋体"/>
                <w:kern w:val="2"/>
                <w:sz w:val="20"/>
                <w:szCs w:val="20"/>
              </w:rPr>
              <w:t>T01</w:t>
            </w:r>
          </w:p>
        </w:tc>
        <w:tc>
          <w:tcPr>
            <w:tcW w:w="197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耒阳市昆冈采石场</w:t>
            </w:r>
          </w:p>
        </w:tc>
        <w:tc>
          <w:tcPr>
            <w:tcW w:w="144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C4304812012097130126991</w:t>
            </w:r>
          </w:p>
        </w:tc>
        <w:tc>
          <w:tcPr>
            <w:tcW w:w="14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2020年9月10日</w:t>
            </w:r>
          </w:p>
        </w:tc>
        <w:tc>
          <w:tcPr>
            <w:tcW w:w="14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0.0249</w:t>
            </w:r>
          </w:p>
        </w:tc>
        <w:tc>
          <w:tcPr>
            <w:tcW w:w="11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lang w:val="zh-CN"/>
              </w:rPr>
            </w:pPr>
            <w:r>
              <w:rPr>
                <w:rFonts w:hint="eastAsia" w:ascii="宋体" w:hAnsi="宋体" w:cs="宋体"/>
                <w:kern w:val="2"/>
                <w:sz w:val="20"/>
                <w:szCs w:val="20"/>
              </w:rPr>
              <w:t>117.9</w:t>
            </w:r>
          </w:p>
        </w:tc>
        <w:tc>
          <w:tcPr>
            <w:tcW w:w="11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2020.12.31</w:t>
            </w:r>
          </w:p>
        </w:tc>
      </w:tr>
      <w:tr>
        <w:tblPrEx>
          <w:tblCellMar>
            <w:top w:w="0" w:type="dxa"/>
            <w:left w:w="0" w:type="dxa"/>
            <w:bottom w:w="0" w:type="dxa"/>
            <w:right w:w="0" w:type="dxa"/>
          </w:tblCellMar>
        </w:tblPrEx>
        <w:trPr>
          <w:trHeight w:val="286" w:hRule="atLeast"/>
          <w:jc w:val="center"/>
        </w:trPr>
        <w:tc>
          <w:tcPr>
            <w:tcW w:w="587" w:type="dxa"/>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2</w:t>
            </w:r>
          </w:p>
        </w:tc>
        <w:tc>
          <w:tcPr>
            <w:tcW w:w="716"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C</w:t>
            </w:r>
            <w:r>
              <w:rPr>
                <w:rFonts w:hint="eastAsia" w:ascii="宋体" w:hAnsi="宋体" w:cs="宋体"/>
                <w:kern w:val="2"/>
                <w:sz w:val="20"/>
                <w:szCs w:val="20"/>
                <w:lang w:val="zh-CN"/>
              </w:rPr>
              <w:t>Q</w:t>
            </w:r>
            <w:r>
              <w:rPr>
                <w:rFonts w:hint="eastAsia" w:ascii="宋体" w:hAnsi="宋体" w:cs="宋体"/>
                <w:kern w:val="2"/>
                <w:sz w:val="20"/>
                <w:szCs w:val="20"/>
              </w:rPr>
              <w:t>T02</w:t>
            </w:r>
          </w:p>
        </w:tc>
        <w:tc>
          <w:tcPr>
            <w:tcW w:w="1970"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耒阳市导子乡农科村采石场</w:t>
            </w:r>
          </w:p>
        </w:tc>
        <w:tc>
          <w:tcPr>
            <w:tcW w:w="1441"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C4304812009087130030848</w:t>
            </w:r>
          </w:p>
        </w:tc>
        <w:tc>
          <w:tcPr>
            <w:tcW w:w="1433"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2020年12月16日</w:t>
            </w:r>
          </w:p>
        </w:tc>
        <w:tc>
          <w:tcPr>
            <w:tcW w:w="14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0.0193</w:t>
            </w:r>
          </w:p>
        </w:tc>
        <w:tc>
          <w:tcPr>
            <w:tcW w:w="11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lang w:val="zh-CN"/>
              </w:rPr>
            </w:pPr>
            <w:r>
              <w:rPr>
                <w:rFonts w:hint="eastAsia" w:ascii="宋体" w:hAnsi="宋体" w:cs="宋体"/>
                <w:kern w:val="2"/>
                <w:sz w:val="20"/>
                <w:szCs w:val="20"/>
              </w:rPr>
              <w:t>23.8</w:t>
            </w:r>
          </w:p>
        </w:tc>
        <w:tc>
          <w:tcPr>
            <w:tcW w:w="1118"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widowControl/>
              <w:rPr>
                <w:rFonts w:ascii="宋体" w:hAnsi="宋体" w:cs="宋体"/>
                <w:sz w:val="20"/>
                <w:szCs w:val="20"/>
                <w:lang w:val="zh-CN"/>
              </w:rPr>
            </w:pPr>
            <w:r>
              <w:rPr>
                <w:rFonts w:hint="eastAsia" w:ascii="宋体" w:hAnsi="宋体" w:cs="宋体"/>
                <w:sz w:val="20"/>
                <w:szCs w:val="20"/>
              </w:rPr>
              <w:t>2020.12.31</w:t>
            </w:r>
          </w:p>
        </w:tc>
      </w:tr>
      <w:tr>
        <w:tblPrEx>
          <w:tblCellMar>
            <w:top w:w="0" w:type="dxa"/>
            <w:left w:w="0" w:type="dxa"/>
            <w:bottom w:w="0" w:type="dxa"/>
            <w:right w:w="0" w:type="dxa"/>
          </w:tblCellMar>
        </w:tblPrEx>
        <w:trPr>
          <w:trHeight w:val="286" w:hRule="atLeast"/>
          <w:jc w:val="center"/>
        </w:trPr>
        <w:tc>
          <w:tcPr>
            <w:tcW w:w="587"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3</w:t>
            </w:r>
          </w:p>
        </w:tc>
        <w:tc>
          <w:tcPr>
            <w:tcW w:w="716"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C</w:t>
            </w:r>
            <w:r>
              <w:rPr>
                <w:rFonts w:hint="eastAsia" w:ascii="宋体" w:hAnsi="宋体" w:cs="宋体"/>
                <w:kern w:val="2"/>
                <w:sz w:val="20"/>
                <w:szCs w:val="20"/>
                <w:lang w:val="zh-CN"/>
              </w:rPr>
              <w:t>Q</w:t>
            </w:r>
            <w:r>
              <w:rPr>
                <w:rFonts w:hint="eastAsia" w:ascii="宋体" w:hAnsi="宋体" w:cs="宋体"/>
                <w:kern w:val="2"/>
                <w:sz w:val="20"/>
                <w:szCs w:val="20"/>
              </w:rPr>
              <w:t>T03</w:t>
            </w:r>
          </w:p>
        </w:tc>
        <w:tc>
          <w:tcPr>
            <w:tcW w:w="1970"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耒阳市永程建材有限公司</w:t>
            </w:r>
          </w:p>
        </w:tc>
        <w:tc>
          <w:tcPr>
            <w:tcW w:w="1441"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C4304812010127130098673</w:t>
            </w:r>
          </w:p>
        </w:tc>
        <w:tc>
          <w:tcPr>
            <w:tcW w:w="1433"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rPr>
                <w:rFonts w:ascii="宋体" w:hAnsi="宋体" w:cs="宋体"/>
                <w:kern w:val="2"/>
                <w:sz w:val="20"/>
                <w:szCs w:val="20"/>
              </w:rPr>
            </w:pPr>
            <w:r>
              <w:rPr>
                <w:rFonts w:hint="eastAsia" w:ascii="宋体" w:hAnsi="宋体" w:cs="宋体"/>
                <w:kern w:val="2"/>
                <w:sz w:val="20"/>
                <w:szCs w:val="20"/>
              </w:rPr>
              <w:t>2020年12月18日</w:t>
            </w:r>
          </w:p>
        </w:tc>
        <w:tc>
          <w:tcPr>
            <w:tcW w:w="141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0.0415</w:t>
            </w:r>
          </w:p>
        </w:tc>
        <w:tc>
          <w:tcPr>
            <w:tcW w:w="111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15"/>
              <w:widowControl/>
              <w:jc w:val="center"/>
              <w:rPr>
                <w:rFonts w:ascii="宋体" w:hAnsi="宋体" w:cs="宋体"/>
                <w:kern w:val="2"/>
                <w:sz w:val="20"/>
                <w:szCs w:val="20"/>
              </w:rPr>
            </w:pPr>
            <w:r>
              <w:rPr>
                <w:rFonts w:hint="eastAsia" w:ascii="宋体" w:hAnsi="宋体" w:cs="宋体"/>
                <w:kern w:val="2"/>
                <w:sz w:val="20"/>
                <w:szCs w:val="20"/>
              </w:rPr>
              <w:t>107.0</w:t>
            </w:r>
          </w:p>
        </w:tc>
        <w:tc>
          <w:tcPr>
            <w:tcW w:w="1118" w:type="dxa"/>
            <w:tcBorders>
              <w:top w:val="nil"/>
              <w:left w:val="nil"/>
              <w:bottom w:val="single" w:color="auto" w:sz="8" w:space="0"/>
              <w:right w:val="single" w:color="auto" w:sz="8" w:space="0"/>
            </w:tcBorders>
            <w:shd w:val="clear" w:color="auto" w:fill="auto"/>
            <w:tcMar>
              <w:left w:w="108" w:type="dxa"/>
              <w:right w:w="108" w:type="dxa"/>
            </w:tcMar>
            <w:vAlign w:val="center"/>
          </w:tcPr>
          <w:p>
            <w:pPr>
              <w:widowControl/>
              <w:rPr>
                <w:rFonts w:ascii="宋体" w:hAnsi="宋体" w:cs="宋体"/>
                <w:sz w:val="20"/>
                <w:szCs w:val="20"/>
              </w:rPr>
            </w:pPr>
            <w:r>
              <w:rPr>
                <w:rFonts w:hint="eastAsia" w:ascii="宋体" w:hAnsi="宋体" w:cs="宋体"/>
                <w:sz w:val="20"/>
                <w:szCs w:val="20"/>
              </w:rPr>
              <w:t>2020.12.31</w:t>
            </w:r>
          </w:p>
        </w:tc>
      </w:tr>
    </w:tbl>
    <w:p>
      <w:pPr>
        <w:ind w:firstLine="560" w:firstLineChars="200"/>
        <w:jc w:val="left"/>
        <w:rPr>
          <w:sz w:val="28"/>
          <w:szCs w:val="28"/>
        </w:rPr>
      </w:pPr>
      <w:r>
        <w:rPr>
          <w:rFonts w:hint="eastAsia"/>
          <w:sz w:val="28"/>
          <w:szCs w:val="28"/>
        </w:rPr>
        <w:t>对限期退出的矿山，根据退出截止时间，由自然资源部门提请耒阳市人民政府作出关闭或补偿退出的决定并组织实施，再由相关部门依法注销（吊销）证照。采矿权人可申请退付剩余资源储量对应的出让收益（价款），但要按实际动用的资源量和已缴纳的出让收益（价款）进行核算，多算退回。</w:t>
      </w:r>
    </w:p>
    <w:p>
      <w:pPr>
        <w:pStyle w:val="5"/>
        <w:ind w:firstLine="562" w:firstLineChars="200"/>
        <w:rPr>
          <w:rFonts w:hint="default"/>
          <w:sz w:val="28"/>
          <w:szCs w:val="28"/>
        </w:rPr>
      </w:pPr>
      <w:bookmarkStart w:id="19" w:name="_Toc8851"/>
      <w:r>
        <w:rPr>
          <w:sz w:val="28"/>
          <w:szCs w:val="28"/>
        </w:rPr>
        <w:t>(七)关闭退出矿山</w:t>
      </w:r>
      <w:bookmarkEnd w:id="19"/>
    </w:p>
    <w:p>
      <w:pPr>
        <w:ind w:firstLine="560" w:firstLineChars="200"/>
        <w:jc w:val="left"/>
        <w:rPr>
          <w:sz w:val="28"/>
          <w:szCs w:val="28"/>
        </w:rPr>
      </w:pPr>
      <w:r>
        <w:rPr>
          <w:rFonts w:hint="eastAsia"/>
          <w:sz w:val="28"/>
          <w:szCs w:val="28"/>
        </w:rPr>
        <w:t>1、直接关闭退出矿山</w:t>
      </w:r>
    </w:p>
    <w:p>
      <w:pPr>
        <w:ind w:firstLine="560" w:firstLineChars="200"/>
        <w:rPr>
          <w:sz w:val="28"/>
          <w:szCs w:val="28"/>
        </w:rPr>
      </w:pPr>
      <w:r>
        <w:rPr>
          <w:rFonts w:hint="eastAsia"/>
          <w:sz w:val="28"/>
          <w:szCs w:val="28"/>
        </w:rPr>
        <w:t>对属自身原因导致采矿许可证过期失效的，依法予以直接关闭退出，全市共有关闭退出矿山11个（</w:t>
      </w:r>
      <w:r>
        <w:rPr>
          <w:rFonts w:hint="eastAsia" w:asciiTheme="minorEastAsia" w:hAnsiTheme="minorEastAsia" w:eastAsiaTheme="minorEastAsia" w:cstheme="minorEastAsia"/>
          <w:sz w:val="28"/>
          <w:szCs w:val="28"/>
        </w:rPr>
        <w:t>见</w:t>
      </w:r>
      <w:r>
        <w:rPr>
          <w:rFonts w:hint="eastAsia"/>
          <w:sz w:val="28"/>
          <w:szCs w:val="28"/>
        </w:rPr>
        <w:t>专栏十）。</w:t>
      </w:r>
    </w:p>
    <w:p>
      <w:pPr>
        <w:ind w:firstLine="560" w:firstLineChars="200"/>
        <w:rPr>
          <w:sz w:val="28"/>
          <w:szCs w:val="28"/>
        </w:rPr>
      </w:pPr>
      <w:r>
        <w:rPr>
          <w:rFonts w:hint="eastAsia"/>
          <w:sz w:val="28"/>
          <w:szCs w:val="28"/>
        </w:rPr>
        <w:t>2、补偿关闭退出矿山</w:t>
      </w:r>
    </w:p>
    <w:p>
      <w:pPr>
        <w:ind w:firstLine="560" w:firstLineChars="200"/>
        <w:rPr>
          <w:sz w:val="28"/>
          <w:szCs w:val="28"/>
        </w:rPr>
      </w:pPr>
      <w:r>
        <w:rPr>
          <w:rFonts w:hint="eastAsia"/>
          <w:sz w:val="28"/>
          <w:szCs w:val="28"/>
        </w:rPr>
        <w:t>对生态环境保护不达标、不具备安全生产条件或不符合砂石土矿专项规划技术标准的矿山，依法补偿予以关闭退出，全市共有处置退出矿山（补偿关闭退出矿山）4个，（</w:t>
      </w:r>
      <w:r>
        <w:rPr>
          <w:rFonts w:hint="eastAsia" w:asciiTheme="minorEastAsia" w:hAnsiTheme="minorEastAsia" w:eastAsiaTheme="minorEastAsia" w:cstheme="minorEastAsia"/>
          <w:sz w:val="28"/>
          <w:szCs w:val="28"/>
        </w:rPr>
        <w:t>见</w:t>
      </w:r>
      <w:r>
        <w:rPr>
          <w:rFonts w:hint="eastAsia"/>
          <w:sz w:val="28"/>
          <w:szCs w:val="28"/>
        </w:rPr>
        <w:t>专栏十）。</w:t>
      </w:r>
    </w:p>
    <w:p>
      <w:pPr>
        <w:jc w:val="left"/>
        <w:rPr>
          <w:sz w:val="28"/>
          <w:szCs w:val="28"/>
        </w:rPr>
      </w:pPr>
      <w:r>
        <w:rPr>
          <w:rStyle w:val="20"/>
          <w:rFonts w:hint="eastAsia" w:ascii="Arial" w:hAnsi="Arial" w:cs="Arial"/>
          <w:sz w:val="24"/>
          <w:szCs w:val="22"/>
        </w:rPr>
        <w:t>专栏十</w:t>
      </w:r>
      <w:r>
        <w:rPr>
          <w:rStyle w:val="20"/>
          <w:rFonts w:hint="eastAsia" w:ascii="Arial" w:hAnsi="Arial" w:cs="Arial"/>
          <w:sz w:val="24"/>
        </w:rPr>
        <w:t xml:space="preserve">           耒阳市关闭退出砂石土矿采矿权名单一览</w:t>
      </w:r>
      <w:r>
        <w:rPr>
          <w:rStyle w:val="20"/>
          <w:rFonts w:ascii="Arial" w:hAnsi="Arial" w:cs="Arial"/>
          <w:sz w:val="24"/>
        </w:rPr>
        <w:t>表</w:t>
      </w:r>
    </w:p>
    <w:tbl>
      <w:tblPr>
        <w:tblStyle w:val="17"/>
        <w:tblW w:w="10591" w:type="dxa"/>
        <w:jc w:val="center"/>
        <w:tblCellSpacing w:w="0" w:type="dxa"/>
        <w:tblLayout w:type="fixed"/>
        <w:tblCellMar>
          <w:top w:w="0" w:type="dxa"/>
          <w:left w:w="0" w:type="dxa"/>
          <w:bottom w:w="0" w:type="dxa"/>
          <w:right w:w="0" w:type="dxa"/>
        </w:tblCellMar>
      </w:tblPr>
      <w:tblGrid>
        <w:gridCol w:w="603"/>
        <w:gridCol w:w="766"/>
        <w:gridCol w:w="2110"/>
        <w:gridCol w:w="2429"/>
        <w:gridCol w:w="1598"/>
        <w:gridCol w:w="1320"/>
        <w:gridCol w:w="658"/>
        <w:gridCol w:w="1107"/>
      </w:tblGrid>
      <w:tr>
        <w:tblPrEx>
          <w:tblCellMar>
            <w:top w:w="0" w:type="dxa"/>
            <w:left w:w="0" w:type="dxa"/>
            <w:bottom w:w="0" w:type="dxa"/>
            <w:right w:w="0" w:type="dxa"/>
          </w:tblCellMar>
        </w:tblPrEx>
        <w:trPr>
          <w:trHeight w:val="665" w:hRule="atLeast"/>
          <w:tblHeader/>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ascii="Arial" w:hAnsi="Arial" w:cs="Arial"/>
                <w:b/>
                <w:bCs/>
                <w:sz w:val="18"/>
                <w:szCs w:val="18"/>
              </w:rPr>
              <w:t>序号</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ascii="Arial" w:hAnsi="Arial" w:cs="Arial"/>
                <w:b/>
                <w:bCs/>
                <w:sz w:val="18"/>
                <w:szCs w:val="18"/>
              </w:rPr>
              <w:t>图面</w:t>
            </w:r>
          </w:p>
          <w:p>
            <w:pPr>
              <w:pStyle w:val="15"/>
              <w:widowControl/>
              <w:spacing w:beforeAutospacing="0" w:afterAutospacing="0"/>
              <w:ind w:left="-174" w:right="-233"/>
              <w:jc w:val="center"/>
              <w:rPr>
                <w:rFonts w:ascii="Arial" w:hAnsi="Arial" w:cs="Arial"/>
                <w:b/>
                <w:bCs/>
                <w:sz w:val="18"/>
                <w:szCs w:val="18"/>
              </w:rPr>
            </w:pPr>
            <w:r>
              <w:rPr>
                <w:rFonts w:ascii="Arial" w:hAnsi="Arial" w:cs="Arial"/>
                <w:b/>
                <w:bCs/>
                <w:sz w:val="18"/>
                <w:szCs w:val="18"/>
              </w:rPr>
              <w:t>编号</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hint="eastAsia" w:ascii="Arial" w:hAnsi="Arial" w:cs="Arial"/>
                <w:b/>
                <w:bCs/>
                <w:sz w:val="18"/>
                <w:szCs w:val="18"/>
              </w:rPr>
              <w:t>关闭退出</w:t>
            </w:r>
            <w:r>
              <w:rPr>
                <w:rFonts w:ascii="Arial" w:hAnsi="Arial" w:cs="Arial"/>
                <w:b/>
                <w:bCs/>
                <w:sz w:val="18"/>
                <w:szCs w:val="18"/>
              </w:rPr>
              <w:t>矿山名称</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hint="eastAsia" w:ascii="Arial" w:hAnsi="Arial" w:cs="Arial"/>
                <w:b/>
                <w:bCs/>
                <w:sz w:val="18"/>
                <w:szCs w:val="18"/>
              </w:rPr>
              <w:t>采矿许可证号</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ascii="Arial" w:hAnsi="Arial" w:cs="Arial"/>
                <w:b/>
                <w:bCs/>
                <w:sz w:val="18"/>
                <w:szCs w:val="18"/>
              </w:rPr>
              <w:t>有效期</w:t>
            </w:r>
          </w:p>
          <w:p>
            <w:pPr>
              <w:pStyle w:val="15"/>
              <w:widowControl/>
              <w:spacing w:beforeAutospacing="0" w:afterAutospacing="0"/>
              <w:ind w:left="-174" w:right="-233"/>
              <w:jc w:val="center"/>
              <w:rPr>
                <w:rFonts w:ascii="Arial" w:hAnsi="Arial" w:cs="Arial"/>
                <w:b/>
                <w:bCs/>
                <w:sz w:val="18"/>
                <w:szCs w:val="18"/>
              </w:rPr>
            </w:pPr>
            <w:r>
              <w:rPr>
                <w:rFonts w:ascii="Arial" w:hAnsi="Arial" w:cs="Arial"/>
                <w:b/>
                <w:bCs/>
                <w:sz w:val="18"/>
                <w:szCs w:val="18"/>
              </w:rPr>
              <w:t>截止日期</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hint="eastAsia" w:ascii="Arial" w:hAnsi="Arial" w:cs="Arial"/>
                <w:b/>
                <w:bCs/>
                <w:sz w:val="18"/>
                <w:szCs w:val="18"/>
              </w:rPr>
              <w:t>直接关闭退出或补偿关闭退出</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hint="eastAsia" w:ascii="Arial" w:hAnsi="Arial" w:cs="Arial"/>
                <w:b/>
                <w:bCs/>
                <w:sz w:val="18"/>
                <w:szCs w:val="18"/>
              </w:rPr>
              <w:t>补偿金额（万元）</w:t>
            </w: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18"/>
                <w:szCs w:val="18"/>
              </w:rPr>
            </w:pPr>
            <w:r>
              <w:rPr>
                <w:rFonts w:ascii="Arial" w:hAnsi="Arial" w:cs="Arial"/>
                <w:b/>
                <w:bCs/>
                <w:sz w:val="18"/>
                <w:szCs w:val="18"/>
              </w:rPr>
              <w:t>退出</w:t>
            </w:r>
          </w:p>
          <w:p>
            <w:pPr>
              <w:pStyle w:val="15"/>
              <w:widowControl/>
              <w:spacing w:beforeAutospacing="0" w:afterAutospacing="0"/>
              <w:ind w:left="-174" w:right="-233"/>
              <w:jc w:val="center"/>
              <w:rPr>
                <w:rFonts w:ascii="Arial" w:hAnsi="Arial" w:cs="Arial"/>
                <w:b/>
                <w:bCs/>
                <w:sz w:val="18"/>
                <w:szCs w:val="18"/>
              </w:rPr>
            </w:pPr>
            <w:r>
              <w:rPr>
                <w:rFonts w:ascii="Arial" w:hAnsi="Arial" w:cs="Arial"/>
                <w:b/>
                <w:bCs/>
                <w:sz w:val="18"/>
                <w:szCs w:val="18"/>
              </w:rPr>
              <w:t>截止时间</w:t>
            </w:r>
          </w:p>
        </w:tc>
      </w:tr>
      <w:tr>
        <w:tblPrEx>
          <w:tblCellMar>
            <w:top w:w="0" w:type="dxa"/>
            <w:left w:w="0" w:type="dxa"/>
            <w:bottom w:w="0" w:type="dxa"/>
            <w:right w:w="0" w:type="dxa"/>
          </w:tblCellMar>
        </w:tblPrEx>
        <w:trPr>
          <w:trHeight w:val="74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1</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G01</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耒阳市公平镇云山采石场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C4304812011097130118858</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2014年5月10日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G02</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耒阳市长坪乡洞中村采石场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C4304812009087130031474</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2019年1月20日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684"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3</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G03</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耒阳市磨形乡大泉岭石灰岩矿</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C4304812009027130006345</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2014年6月2日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728"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4</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G04</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耒阳市民旺采石场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C4304812009127130050269</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2016年3月18日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5</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G05</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郑先进采石场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C4304812009117130041681</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2016年3月26日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6</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G06</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水东江花桥粤湘页岩建材</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C4304812009057130016457</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2012年5月24日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7</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G07</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耒阳市德泰建筑材料有限公司</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C4304812011017130104742</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黑体" w:hAnsi="宋体" w:eastAsia="黑体" w:cs="黑体"/>
                <w:sz w:val="18"/>
                <w:szCs w:val="18"/>
              </w:rPr>
              <w:t>2014年1月18日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883"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8</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G08</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耒阳市泗门州镇新渡村天剩泥岩矿</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C4304812010057130065997</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2016年10月9日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2020.12.31</w:t>
            </w:r>
          </w:p>
        </w:tc>
      </w:tr>
      <w:tr>
        <w:tblPrEx>
          <w:tblCellMar>
            <w:top w:w="0" w:type="dxa"/>
            <w:left w:w="0" w:type="dxa"/>
            <w:bottom w:w="0" w:type="dxa"/>
            <w:right w:w="0" w:type="dxa"/>
          </w:tblCellMar>
        </w:tblPrEx>
        <w:trPr>
          <w:trHeight w:val="776"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9</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G09</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耒阳市建富建材有限公司</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C4304812011017130104698</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2014年1月18日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2020.12.31</w:t>
            </w:r>
          </w:p>
        </w:tc>
      </w:tr>
      <w:tr>
        <w:tblPrEx>
          <w:tblCellMar>
            <w:top w:w="0" w:type="dxa"/>
            <w:left w:w="0" w:type="dxa"/>
            <w:bottom w:w="0" w:type="dxa"/>
            <w:right w:w="0" w:type="dxa"/>
          </w:tblCellMar>
        </w:tblPrEx>
        <w:trPr>
          <w:trHeight w:val="913"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10</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G10</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耒阳市龙塘尾村采石场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C4304812010127130098709</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2014年9月6日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11</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G11</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耒阳市青山采石场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C4304812009087130033253</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2015年9月12日</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直接关闭</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12</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仿宋_GB2312" w:eastAsia="仿宋_GB2312"/>
                <w:kern w:val="2"/>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BG01</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耒阳市东湖圩乡大桥村果花坪采石场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C4304812009107130039313</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2020年12月15</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补偿退出</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100</w:t>
            </w: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13</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仿宋_GB2312" w:eastAsia="仿宋_GB2312"/>
                <w:kern w:val="2"/>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BG02</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耒阳市长坪乡坳上村采石场</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C4304812011037130108124</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2020年07月20</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补偿退出</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60</w:t>
            </w: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14</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仿宋_GB2312" w:eastAsia="仿宋_GB2312"/>
                <w:kern w:val="2"/>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BG03</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耒阳市新市泰兴隆页岩机砖厂</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C4304812017107130145232</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2021年10月19</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补偿退出</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100</w:t>
            </w: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15</w:t>
            </w:r>
          </w:p>
        </w:tc>
        <w:tc>
          <w:tcPr>
            <w:tcW w:w="76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仿宋_GB2312" w:eastAsia="仿宋_GB2312"/>
                <w:kern w:val="2"/>
                <w:sz w:val="18"/>
                <w:szCs w:val="18"/>
              </w:rPr>
            </w:pPr>
            <w:r>
              <w:rPr>
                <w:rFonts w:hint="eastAsia" w:ascii="仿宋_GB2312" w:eastAsia="仿宋_GB2312"/>
                <w:kern w:val="2"/>
                <w:sz w:val="18"/>
                <w:szCs w:val="18"/>
              </w:rPr>
              <w:t>C</w:t>
            </w:r>
            <w:r>
              <w:rPr>
                <w:rFonts w:hint="eastAsia" w:ascii="仿宋_GB2312" w:eastAsia="仿宋_GB2312"/>
                <w:kern w:val="2"/>
                <w:sz w:val="18"/>
                <w:szCs w:val="18"/>
                <w:lang w:val="zh-CN"/>
              </w:rPr>
              <w:t>Q</w:t>
            </w:r>
            <w:r>
              <w:rPr>
                <w:rFonts w:hint="eastAsia" w:ascii="仿宋_GB2312" w:eastAsia="仿宋_GB2312"/>
                <w:kern w:val="2"/>
                <w:sz w:val="18"/>
                <w:szCs w:val="18"/>
              </w:rPr>
              <w:t>BG04</w:t>
            </w:r>
          </w:p>
        </w:tc>
        <w:tc>
          <w:tcPr>
            <w:tcW w:w="211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耒阳市荣盛页岩砖厂</w:t>
            </w:r>
          </w:p>
        </w:tc>
        <w:tc>
          <w:tcPr>
            <w:tcW w:w="242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C4304812015107130140071</w:t>
            </w:r>
          </w:p>
        </w:tc>
        <w:tc>
          <w:tcPr>
            <w:tcW w:w="159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2021年10月23</w:t>
            </w:r>
          </w:p>
        </w:tc>
        <w:tc>
          <w:tcPr>
            <w:tcW w:w="1320"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center"/>
              <w:rPr>
                <w:rFonts w:ascii="Arial" w:hAnsi="Arial" w:cs="Arial"/>
                <w:sz w:val="18"/>
                <w:szCs w:val="18"/>
              </w:rPr>
            </w:pPr>
            <w:r>
              <w:rPr>
                <w:rFonts w:hint="eastAsia" w:ascii="Arial" w:hAnsi="Arial" w:cs="Arial"/>
                <w:sz w:val="18"/>
                <w:szCs w:val="18"/>
              </w:rPr>
              <w:t>补偿退出</w:t>
            </w:r>
          </w:p>
        </w:tc>
        <w:tc>
          <w:tcPr>
            <w:tcW w:w="658"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hint="eastAsia" w:ascii="Arial" w:hAnsi="Arial" w:cs="Arial"/>
                <w:sz w:val="18"/>
                <w:szCs w:val="18"/>
              </w:rPr>
              <w:t>100</w:t>
            </w:r>
          </w:p>
        </w:tc>
        <w:tc>
          <w:tcPr>
            <w:tcW w:w="1107"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18"/>
                <w:szCs w:val="18"/>
              </w:rPr>
            </w:pPr>
            <w:r>
              <w:rPr>
                <w:rFonts w:ascii="Arial" w:hAnsi="Arial" w:cs="Arial"/>
                <w:sz w:val="18"/>
                <w:szCs w:val="18"/>
              </w:rPr>
              <w:t>2020.12.31</w:t>
            </w:r>
          </w:p>
        </w:tc>
      </w:tr>
    </w:tbl>
    <w:p>
      <w:pPr>
        <w:ind w:firstLine="561"/>
        <w:rPr>
          <w:sz w:val="28"/>
          <w:szCs w:val="28"/>
        </w:rPr>
      </w:pPr>
      <w:r>
        <w:rPr>
          <w:sz w:val="28"/>
          <w:szCs w:val="28"/>
        </w:rPr>
        <w:t>对符合专项整治方案明确的关闭条件的矿山，由自然资源、生态环境、应急管理等部门按职责分别提出</w:t>
      </w:r>
      <w:r>
        <w:rPr>
          <w:rFonts w:hint="eastAsia"/>
          <w:sz w:val="28"/>
          <w:szCs w:val="28"/>
        </w:rPr>
        <w:t>直接</w:t>
      </w:r>
      <w:r>
        <w:rPr>
          <w:sz w:val="28"/>
          <w:szCs w:val="28"/>
        </w:rPr>
        <w:t>关闭</w:t>
      </w:r>
      <w:r>
        <w:rPr>
          <w:rFonts w:hint="eastAsia"/>
          <w:sz w:val="28"/>
          <w:szCs w:val="28"/>
        </w:rPr>
        <w:t>或补偿退出</w:t>
      </w:r>
      <w:r>
        <w:rPr>
          <w:sz w:val="28"/>
          <w:szCs w:val="28"/>
        </w:rPr>
        <w:t>名单，由</w:t>
      </w:r>
      <w:r>
        <w:rPr>
          <w:rFonts w:hint="eastAsia"/>
          <w:sz w:val="28"/>
          <w:szCs w:val="28"/>
        </w:rPr>
        <w:t>耒阳市</w:t>
      </w:r>
      <w:r>
        <w:rPr>
          <w:sz w:val="28"/>
          <w:szCs w:val="28"/>
        </w:rPr>
        <w:t>人民政府依法作出</w:t>
      </w:r>
      <w:r>
        <w:rPr>
          <w:rFonts w:hint="eastAsia"/>
          <w:sz w:val="28"/>
          <w:szCs w:val="28"/>
        </w:rPr>
        <w:t>直接</w:t>
      </w:r>
      <w:r>
        <w:rPr>
          <w:sz w:val="28"/>
          <w:szCs w:val="28"/>
        </w:rPr>
        <w:t>关闭</w:t>
      </w:r>
      <w:r>
        <w:rPr>
          <w:rFonts w:hint="eastAsia"/>
          <w:sz w:val="28"/>
          <w:szCs w:val="28"/>
        </w:rPr>
        <w:t>或补偿退出的</w:t>
      </w:r>
      <w:r>
        <w:rPr>
          <w:sz w:val="28"/>
          <w:szCs w:val="28"/>
        </w:rPr>
        <w:t>决定</w:t>
      </w:r>
      <w:r>
        <w:rPr>
          <w:rFonts w:hint="eastAsia"/>
          <w:sz w:val="28"/>
          <w:szCs w:val="28"/>
        </w:rPr>
        <w:t>，由耒阳市人民政府组织实施，再由相关部门依法注销（吊销）证照。</w:t>
      </w:r>
    </w:p>
    <w:p>
      <w:pPr>
        <w:ind w:firstLine="561"/>
        <w:rPr>
          <w:sz w:val="28"/>
          <w:szCs w:val="28"/>
        </w:rPr>
      </w:pPr>
      <w:r>
        <w:rPr>
          <w:rFonts w:hint="eastAsia"/>
          <w:sz w:val="28"/>
          <w:szCs w:val="28"/>
        </w:rPr>
        <w:t>全市关闭矿山应在2020年12月31日前退出。 直接关闭的矿山不作补偿。</w:t>
      </w:r>
    </w:p>
    <w:p>
      <w:pPr>
        <w:ind w:firstLine="561"/>
        <w:rPr>
          <w:sz w:val="28"/>
          <w:szCs w:val="28"/>
        </w:rPr>
      </w:pPr>
      <w:r>
        <w:rPr>
          <w:rFonts w:hint="eastAsia"/>
          <w:sz w:val="28"/>
          <w:szCs w:val="28"/>
        </w:rPr>
        <w:t>对补偿退出的矿山，采矿权人可申请退付剩余资源储量对应的出让收益（价款），但要按实际动用的资源量和已缴纳的出让收益（价款）进行核算。</w:t>
      </w:r>
    </w:p>
    <w:p>
      <w:pPr>
        <w:pStyle w:val="5"/>
        <w:ind w:firstLine="562" w:firstLineChars="200"/>
        <w:rPr>
          <w:rFonts w:hint="default"/>
          <w:sz w:val="28"/>
          <w:szCs w:val="28"/>
        </w:rPr>
      </w:pPr>
      <w:bookmarkStart w:id="20" w:name="_Toc9317"/>
      <w:r>
        <w:rPr>
          <w:sz w:val="28"/>
          <w:szCs w:val="28"/>
        </w:rPr>
        <w:t>(八)遗留问题矿山</w:t>
      </w:r>
      <w:bookmarkEnd w:id="20"/>
    </w:p>
    <w:p>
      <w:pPr>
        <w:rPr>
          <w:sz w:val="28"/>
          <w:szCs w:val="28"/>
        </w:rPr>
      </w:pPr>
      <w:r>
        <w:rPr>
          <w:rFonts w:hint="eastAsia"/>
          <w:sz w:val="28"/>
          <w:szCs w:val="28"/>
        </w:rPr>
        <w:t xml:space="preserve">  对于遗留问题的处置：同意收回5个遗留问题矿山的采矿权成交确认书、采矿权出让合同，将5个遗留问题矿山纳入砂石土矿专项规划允许开采区，见专栏十一。</w:t>
      </w:r>
    </w:p>
    <w:p>
      <w:pPr>
        <w:jc w:val="left"/>
        <w:rPr>
          <w:sz w:val="28"/>
          <w:szCs w:val="28"/>
        </w:rPr>
      </w:pPr>
      <w:r>
        <w:rPr>
          <w:rFonts w:hint="eastAsia"/>
          <w:sz w:val="28"/>
          <w:szCs w:val="28"/>
        </w:rPr>
        <w:t>专栏十一                遗留问题矿山处理表</w:t>
      </w:r>
    </w:p>
    <w:tbl>
      <w:tblPr>
        <w:tblStyle w:val="17"/>
        <w:tblW w:w="9825" w:type="dxa"/>
        <w:jc w:val="center"/>
        <w:tblCellSpacing w:w="0" w:type="dxa"/>
        <w:tblLayout w:type="fixed"/>
        <w:tblCellMar>
          <w:top w:w="0" w:type="dxa"/>
          <w:left w:w="0" w:type="dxa"/>
          <w:bottom w:w="0" w:type="dxa"/>
          <w:right w:w="0" w:type="dxa"/>
        </w:tblCellMar>
      </w:tblPr>
      <w:tblGrid>
        <w:gridCol w:w="603"/>
        <w:gridCol w:w="1562"/>
        <w:gridCol w:w="3476"/>
        <w:gridCol w:w="2259"/>
        <w:gridCol w:w="1925"/>
      </w:tblGrid>
      <w:tr>
        <w:tblPrEx>
          <w:tblCellMar>
            <w:top w:w="0" w:type="dxa"/>
            <w:left w:w="0" w:type="dxa"/>
            <w:bottom w:w="0" w:type="dxa"/>
            <w:right w:w="0" w:type="dxa"/>
          </w:tblCellMar>
        </w:tblPrEx>
        <w:trPr>
          <w:trHeight w:val="665" w:hRule="atLeast"/>
          <w:tblHeader/>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21"/>
                <w:szCs w:val="21"/>
              </w:rPr>
            </w:pPr>
            <w:r>
              <w:rPr>
                <w:rFonts w:ascii="Arial" w:hAnsi="Arial" w:cs="Arial"/>
                <w:b/>
                <w:bCs/>
                <w:sz w:val="21"/>
                <w:szCs w:val="21"/>
              </w:rPr>
              <w:t>序号</w:t>
            </w:r>
          </w:p>
        </w:tc>
        <w:tc>
          <w:tcPr>
            <w:tcW w:w="156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21"/>
                <w:szCs w:val="21"/>
              </w:rPr>
            </w:pPr>
            <w:r>
              <w:rPr>
                <w:rFonts w:ascii="Arial" w:hAnsi="Arial" w:cs="Arial"/>
                <w:b/>
                <w:bCs/>
                <w:sz w:val="21"/>
                <w:szCs w:val="21"/>
              </w:rPr>
              <w:t>矿山名称</w:t>
            </w:r>
          </w:p>
        </w:tc>
        <w:tc>
          <w:tcPr>
            <w:tcW w:w="34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21"/>
                <w:szCs w:val="21"/>
              </w:rPr>
            </w:pPr>
            <w:r>
              <w:rPr>
                <w:rFonts w:hint="eastAsia" w:ascii="Arial" w:hAnsi="Arial" w:cs="Arial"/>
                <w:b/>
                <w:bCs/>
                <w:sz w:val="21"/>
                <w:szCs w:val="21"/>
              </w:rPr>
              <w:t>情况简介</w:t>
            </w:r>
          </w:p>
        </w:tc>
        <w:tc>
          <w:tcPr>
            <w:tcW w:w="225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21"/>
                <w:szCs w:val="21"/>
              </w:rPr>
            </w:pPr>
            <w:r>
              <w:rPr>
                <w:rFonts w:hint="eastAsia" w:ascii="Arial" w:hAnsi="Arial" w:cs="Arial"/>
                <w:b/>
                <w:bCs/>
                <w:sz w:val="21"/>
                <w:szCs w:val="21"/>
              </w:rPr>
              <w:t>处理结果</w:t>
            </w:r>
          </w:p>
        </w:tc>
        <w:tc>
          <w:tcPr>
            <w:tcW w:w="19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174" w:right="-233"/>
              <w:jc w:val="center"/>
              <w:rPr>
                <w:rFonts w:ascii="Arial" w:hAnsi="Arial" w:cs="Arial"/>
                <w:b/>
                <w:bCs/>
                <w:sz w:val="21"/>
                <w:szCs w:val="21"/>
              </w:rPr>
            </w:pPr>
            <w:r>
              <w:rPr>
                <w:rFonts w:hint="eastAsia" w:ascii="Arial" w:hAnsi="Arial" w:cs="Arial"/>
                <w:b/>
                <w:bCs/>
                <w:sz w:val="21"/>
                <w:szCs w:val="21"/>
              </w:rPr>
              <w:t>备注</w:t>
            </w:r>
          </w:p>
        </w:tc>
      </w:tr>
      <w:tr>
        <w:tblPrEx>
          <w:tblCellMar>
            <w:top w:w="0" w:type="dxa"/>
            <w:left w:w="0" w:type="dxa"/>
            <w:bottom w:w="0" w:type="dxa"/>
            <w:right w:w="0" w:type="dxa"/>
          </w:tblCellMar>
        </w:tblPrEx>
        <w:trPr>
          <w:trHeight w:val="74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ascii="Arial" w:hAnsi="Arial" w:cs="Arial"/>
                <w:sz w:val="21"/>
                <w:szCs w:val="21"/>
              </w:rPr>
              <w:t>1</w:t>
            </w:r>
          </w:p>
        </w:tc>
        <w:tc>
          <w:tcPr>
            <w:tcW w:w="156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耒阳市小水镇金山村页岩矿</w:t>
            </w:r>
          </w:p>
        </w:tc>
        <w:tc>
          <w:tcPr>
            <w:tcW w:w="34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开采矿种为砖瓦用页岩，面积为0.08m</w:t>
            </w:r>
            <w:r>
              <w:rPr>
                <w:rFonts w:hint="eastAsia" w:ascii="Arial" w:hAnsi="Arial" w:cs="Arial"/>
                <w:sz w:val="21"/>
                <w:szCs w:val="21"/>
                <w:vertAlign w:val="superscript"/>
              </w:rPr>
              <w:t>2</w:t>
            </w:r>
            <w:r>
              <w:rPr>
                <w:rFonts w:hint="eastAsia" w:ascii="Arial" w:hAnsi="Arial" w:cs="Arial"/>
                <w:sz w:val="21"/>
                <w:szCs w:val="21"/>
              </w:rPr>
              <w:t>,保有储量为159.4万吨，部分占用公益林</w:t>
            </w:r>
          </w:p>
        </w:tc>
        <w:tc>
          <w:tcPr>
            <w:tcW w:w="225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收回采矿权成交确认书</w:t>
            </w:r>
          </w:p>
        </w:tc>
        <w:tc>
          <w:tcPr>
            <w:tcW w:w="19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left"/>
              <w:rPr>
                <w:rFonts w:ascii="Arial" w:hAnsi="Arial" w:cs="Arial"/>
                <w:szCs w:val="21"/>
              </w:rPr>
            </w:pPr>
            <w:r>
              <w:rPr>
                <w:rFonts w:hint="eastAsia" w:ascii="Arial" w:hAnsi="Arial" w:cs="Arial"/>
                <w:szCs w:val="21"/>
              </w:rPr>
              <w:t>纳入小水镇金山村砖瓦用页岩允许开采区</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2</w:t>
            </w:r>
          </w:p>
        </w:tc>
        <w:tc>
          <w:tcPr>
            <w:tcW w:w="156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耒阳市长坪乡黄龙村采石场</w:t>
            </w:r>
          </w:p>
        </w:tc>
        <w:tc>
          <w:tcPr>
            <w:tcW w:w="34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开采矿种为建筑石料用灰岩，面积为0.25019m</w:t>
            </w:r>
            <w:r>
              <w:rPr>
                <w:rFonts w:hint="eastAsia" w:ascii="Arial" w:hAnsi="Arial" w:cs="Arial"/>
                <w:sz w:val="21"/>
                <w:szCs w:val="21"/>
                <w:vertAlign w:val="superscript"/>
              </w:rPr>
              <w:t>2</w:t>
            </w:r>
            <w:r>
              <w:rPr>
                <w:rFonts w:hint="eastAsia" w:ascii="Arial" w:hAnsi="Arial" w:cs="Arial"/>
                <w:sz w:val="21"/>
                <w:szCs w:val="21"/>
              </w:rPr>
              <w:t>,保有储量为2602万吨，部分占用公益林</w:t>
            </w:r>
          </w:p>
        </w:tc>
        <w:tc>
          <w:tcPr>
            <w:tcW w:w="225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left"/>
              <w:rPr>
                <w:rFonts w:ascii="Arial" w:hAnsi="Arial" w:cs="Arial"/>
                <w:szCs w:val="21"/>
              </w:rPr>
            </w:pPr>
            <w:r>
              <w:rPr>
                <w:rFonts w:hint="eastAsia" w:ascii="Arial" w:hAnsi="Arial" w:cs="Arial"/>
                <w:szCs w:val="21"/>
              </w:rPr>
              <w:t>纳入长坪乡黄龙村建筑石料用灰岩允许开采区</w:t>
            </w:r>
          </w:p>
        </w:tc>
        <w:tc>
          <w:tcPr>
            <w:tcW w:w="19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left"/>
              <w:rPr>
                <w:rFonts w:ascii="Arial" w:hAnsi="Arial" w:cs="Arial"/>
                <w:szCs w:val="21"/>
              </w:rPr>
            </w:pPr>
            <w:r>
              <w:rPr>
                <w:rFonts w:hint="eastAsia" w:ascii="Arial" w:hAnsi="Arial" w:cs="Arial"/>
                <w:szCs w:val="21"/>
              </w:rPr>
              <w:t>纳入长坪乡黄龙村建筑石料用灰岩允许开采区</w:t>
            </w:r>
          </w:p>
        </w:tc>
      </w:tr>
      <w:tr>
        <w:tblPrEx>
          <w:tblCellMar>
            <w:top w:w="0" w:type="dxa"/>
            <w:left w:w="0" w:type="dxa"/>
            <w:bottom w:w="0" w:type="dxa"/>
            <w:right w:w="0" w:type="dxa"/>
          </w:tblCellMar>
        </w:tblPrEx>
        <w:trPr>
          <w:trHeight w:val="684"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3</w:t>
            </w:r>
          </w:p>
        </w:tc>
        <w:tc>
          <w:tcPr>
            <w:tcW w:w="156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耒阳市亮源乡余升村花岗岩矿</w:t>
            </w:r>
          </w:p>
        </w:tc>
        <w:tc>
          <w:tcPr>
            <w:tcW w:w="34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开采矿种为建筑用花岗岩，面积为0.5785m</w:t>
            </w:r>
            <w:r>
              <w:rPr>
                <w:rFonts w:hint="eastAsia" w:ascii="Arial" w:hAnsi="Arial" w:cs="Arial"/>
                <w:sz w:val="21"/>
                <w:szCs w:val="21"/>
                <w:vertAlign w:val="superscript"/>
              </w:rPr>
              <w:t>2</w:t>
            </w:r>
            <w:r>
              <w:rPr>
                <w:rFonts w:hint="eastAsia" w:ascii="Arial" w:hAnsi="Arial" w:cs="Arial"/>
                <w:sz w:val="21"/>
                <w:szCs w:val="21"/>
              </w:rPr>
              <w:t>,保有储量为10528万吨，部分占用公益林</w:t>
            </w:r>
          </w:p>
        </w:tc>
        <w:tc>
          <w:tcPr>
            <w:tcW w:w="225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left"/>
              <w:rPr>
                <w:rFonts w:ascii="Arial" w:hAnsi="Arial" w:cs="Arial"/>
                <w:szCs w:val="21"/>
              </w:rPr>
            </w:pPr>
            <w:r>
              <w:rPr>
                <w:rFonts w:hint="eastAsia" w:ascii="Arial" w:hAnsi="Arial" w:cs="Arial"/>
                <w:szCs w:val="21"/>
              </w:rPr>
              <w:t>收回采矿权成交确认书</w:t>
            </w:r>
          </w:p>
        </w:tc>
        <w:tc>
          <w:tcPr>
            <w:tcW w:w="19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widowControl/>
              <w:ind w:left="-42" w:right="-139"/>
              <w:jc w:val="left"/>
              <w:rPr>
                <w:rFonts w:ascii="Arial" w:hAnsi="Arial" w:cs="Arial"/>
                <w:szCs w:val="21"/>
              </w:rPr>
            </w:pPr>
            <w:r>
              <w:rPr>
                <w:rFonts w:hint="eastAsia" w:ascii="Arial" w:hAnsi="Arial" w:cs="Arial"/>
                <w:szCs w:val="21"/>
              </w:rPr>
              <w:t>纳入亮源乡余升村建筑用花岗岩允许开采区</w:t>
            </w:r>
          </w:p>
        </w:tc>
      </w:tr>
      <w:tr>
        <w:tblPrEx>
          <w:tblCellMar>
            <w:top w:w="0" w:type="dxa"/>
            <w:left w:w="0" w:type="dxa"/>
            <w:bottom w:w="0" w:type="dxa"/>
            <w:right w:w="0" w:type="dxa"/>
          </w:tblCellMar>
        </w:tblPrEx>
        <w:trPr>
          <w:trHeight w:val="728"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4</w:t>
            </w:r>
          </w:p>
        </w:tc>
        <w:tc>
          <w:tcPr>
            <w:tcW w:w="156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耒阳市大市镇芭蕉村石灰岩矿</w:t>
            </w:r>
          </w:p>
        </w:tc>
        <w:tc>
          <w:tcPr>
            <w:tcW w:w="34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开采矿种为建筑石料用灰岩，面积为0.0714m</w:t>
            </w:r>
            <w:r>
              <w:rPr>
                <w:rFonts w:hint="eastAsia" w:ascii="Arial" w:hAnsi="Arial" w:cs="Arial"/>
                <w:sz w:val="21"/>
                <w:szCs w:val="21"/>
                <w:vertAlign w:val="superscript"/>
              </w:rPr>
              <w:t>2</w:t>
            </w:r>
            <w:r>
              <w:rPr>
                <w:rFonts w:hint="eastAsia" w:ascii="Arial" w:hAnsi="Arial" w:cs="Arial"/>
                <w:sz w:val="21"/>
                <w:szCs w:val="21"/>
              </w:rPr>
              <w:t>,保有储量为157.4万吨</w:t>
            </w:r>
          </w:p>
        </w:tc>
        <w:tc>
          <w:tcPr>
            <w:tcW w:w="225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收回采矿权成交确认书</w:t>
            </w:r>
          </w:p>
        </w:tc>
        <w:tc>
          <w:tcPr>
            <w:tcW w:w="19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纳入大市镇芭蕉建筑石料用灰岩允许开采区</w:t>
            </w:r>
          </w:p>
        </w:tc>
      </w:tr>
      <w:tr>
        <w:tblPrEx>
          <w:tblCellMar>
            <w:top w:w="0" w:type="dxa"/>
            <w:left w:w="0" w:type="dxa"/>
            <w:bottom w:w="0" w:type="dxa"/>
            <w:right w:w="0" w:type="dxa"/>
          </w:tblCellMar>
        </w:tblPrEx>
        <w:trPr>
          <w:trHeight w:val="665" w:hRule="atLeast"/>
          <w:tblCellSpacing w:w="0" w:type="dxa"/>
          <w:jc w:val="center"/>
        </w:trPr>
        <w:tc>
          <w:tcPr>
            <w:tcW w:w="603"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5</w:t>
            </w:r>
          </w:p>
        </w:tc>
        <w:tc>
          <w:tcPr>
            <w:tcW w:w="1562"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center"/>
              <w:rPr>
                <w:rFonts w:ascii="Arial" w:hAnsi="Arial" w:cs="Arial"/>
                <w:sz w:val="21"/>
                <w:szCs w:val="21"/>
              </w:rPr>
            </w:pPr>
            <w:r>
              <w:rPr>
                <w:rFonts w:hint="eastAsia" w:ascii="Arial" w:hAnsi="Arial" w:cs="Arial"/>
                <w:sz w:val="21"/>
                <w:szCs w:val="21"/>
              </w:rPr>
              <w:t>耒阳市公平圩镇公平村页岩矿</w:t>
            </w:r>
          </w:p>
        </w:tc>
        <w:tc>
          <w:tcPr>
            <w:tcW w:w="3476"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jc w:val="both"/>
              <w:rPr>
                <w:rFonts w:ascii="Arial" w:hAnsi="Arial" w:cs="Arial"/>
                <w:sz w:val="21"/>
                <w:szCs w:val="21"/>
              </w:rPr>
            </w:pPr>
            <w:r>
              <w:rPr>
                <w:rFonts w:hint="eastAsia" w:ascii="Arial" w:hAnsi="Arial" w:cs="Arial"/>
                <w:sz w:val="21"/>
                <w:szCs w:val="21"/>
              </w:rPr>
              <w:t>开采矿种为砖瓦用页岩，面积为0.1074m</w:t>
            </w:r>
            <w:r>
              <w:rPr>
                <w:rFonts w:hint="eastAsia" w:ascii="Arial" w:hAnsi="Arial" w:cs="Arial"/>
                <w:sz w:val="21"/>
                <w:szCs w:val="21"/>
                <w:vertAlign w:val="superscript"/>
              </w:rPr>
              <w:t>2</w:t>
            </w:r>
            <w:r>
              <w:rPr>
                <w:rFonts w:hint="eastAsia" w:ascii="Arial" w:hAnsi="Arial" w:cs="Arial"/>
                <w:sz w:val="21"/>
                <w:szCs w:val="21"/>
              </w:rPr>
              <w:t>,保有储量为530万吨</w:t>
            </w:r>
          </w:p>
        </w:tc>
        <w:tc>
          <w:tcPr>
            <w:tcW w:w="2259"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收回采矿权成交确认书和出让合同</w:t>
            </w:r>
          </w:p>
        </w:tc>
        <w:tc>
          <w:tcPr>
            <w:tcW w:w="1925" w:type="dxa"/>
            <w:tcBorders>
              <w:top w:val="single" w:color="080000" w:sz="6" w:space="0"/>
              <w:left w:val="single" w:color="080000" w:sz="6" w:space="0"/>
              <w:bottom w:val="single" w:color="080000" w:sz="6" w:space="0"/>
              <w:right w:val="single" w:color="080000" w:sz="6" w:space="0"/>
            </w:tcBorders>
            <w:shd w:val="clear" w:color="auto" w:fill="auto"/>
            <w:tcMar>
              <w:left w:w="108" w:type="dxa"/>
              <w:right w:w="108" w:type="dxa"/>
            </w:tcMar>
            <w:vAlign w:val="center"/>
          </w:tcPr>
          <w:p>
            <w:pPr>
              <w:pStyle w:val="15"/>
              <w:widowControl/>
              <w:spacing w:beforeAutospacing="0" w:afterAutospacing="0"/>
              <w:ind w:left="-42" w:right="-139"/>
              <w:rPr>
                <w:rFonts w:ascii="Arial" w:hAnsi="Arial" w:cs="Arial"/>
                <w:sz w:val="21"/>
                <w:szCs w:val="21"/>
              </w:rPr>
            </w:pPr>
            <w:r>
              <w:rPr>
                <w:rFonts w:hint="eastAsia" w:ascii="Arial" w:hAnsi="Arial" w:cs="Arial"/>
                <w:sz w:val="21"/>
                <w:szCs w:val="21"/>
              </w:rPr>
              <w:t>纳入公平圩镇百里铺砖瓦用页岩允许开采区</w:t>
            </w:r>
          </w:p>
        </w:tc>
      </w:tr>
    </w:tbl>
    <w:p>
      <w:pPr>
        <w:ind w:firstLine="561"/>
        <w:rPr>
          <w:sz w:val="28"/>
          <w:szCs w:val="28"/>
        </w:rPr>
      </w:pPr>
    </w:p>
    <w:p>
      <w:pPr>
        <w:rPr>
          <w:sz w:val="28"/>
          <w:szCs w:val="28"/>
        </w:rPr>
      </w:pPr>
      <w:r>
        <w:rPr>
          <w:rFonts w:hint="eastAsia"/>
          <w:sz w:val="28"/>
          <w:szCs w:val="28"/>
        </w:rPr>
        <w:br w:type="page"/>
      </w:r>
    </w:p>
    <w:p>
      <w:pPr>
        <w:pStyle w:val="5"/>
        <w:jc w:val="center"/>
        <w:rPr>
          <w:rFonts w:hint="default" w:ascii="黑体" w:hAnsi="黑体" w:eastAsia="黑体" w:cs="黑体"/>
          <w:b w:val="0"/>
          <w:bCs/>
          <w:sz w:val="36"/>
          <w:szCs w:val="36"/>
        </w:rPr>
      </w:pPr>
      <w:bookmarkStart w:id="21" w:name="_Toc32748"/>
      <w:r>
        <w:rPr>
          <w:rFonts w:ascii="黑体" w:hAnsi="黑体" w:eastAsia="黑体" w:cs="黑体"/>
          <w:b w:val="0"/>
          <w:bCs/>
          <w:sz w:val="36"/>
          <w:szCs w:val="36"/>
        </w:rPr>
        <w:t>四、生态环境（含地质环境）修复治理</w:t>
      </w:r>
      <w:bookmarkEnd w:id="21"/>
    </w:p>
    <w:p>
      <w:pPr>
        <w:pStyle w:val="5"/>
        <w:ind w:firstLine="562" w:firstLineChars="200"/>
        <w:rPr>
          <w:rFonts w:hint="default"/>
          <w:sz w:val="28"/>
          <w:szCs w:val="28"/>
        </w:rPr>
      </w:pPr>
      <w:bookmarkStart w:id="22" w:name="_Toc10959"/>
      <w:r>
        <w:rPr>
          <w:sz w:val="28"/>
          <w:szCs w:val="28"/>
        </w:rPr>
        <w:t>(一)生产矿山生态环境修复治理</w:t>
      </w:r>
      <w:bookmarkEnd w:id="22"/>
    </w:p>
    <w:p>
      <w:pPr>
        <w:numPr>
          <w:ilvl w:val="0"/>
          <w:numId w:val="3"/>
        </w:numPr>
        <w:spacing w:line="360" w:lineRule="auto"/>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生产矿山生态环境修复治理标准要求</w:t>
      </w:r>
    </w:p>
    <w:p>
      <w:pPr>
        <w:spacing w:line="360" w:lineRule="auto"/>
        <w:ind w:firstLine="560" w:firstLineChars="200"/>
        <w:rPr>
          <w:rFonts w:asciiTheme="minorEastAsia" w:hAnsiTheme="minorEastAsia" w:eastAsiaTheme="minorEastAsia" w:cstheme="minorEastAsia"/>
          <w:bCs/>
          <w:kern w:val="0"/>
          <w:sz w:val="28"/>
          <w:szCs w:val="28"/>
          <w:lang w:val="zh-TW" w:eastAsia="zh-TW"/>
        </w:rPr>
      </w:pPr>
      <w:r>
        <w:rPr>
          <w:rFonts w:hint="eastAsia" w:asciiTheme="minorEastAsia" w:hAnsiTheme="minorEastAsia" w:eastAsiaTheme="minorEastAsia" w:cstheme="minorEastAsia"/>
          <w:kern w:val="0"/>
          <w:sz w:val="28"/>
          <w:szCs w:val="28"/>
          <w:lang w:val="zh-TW"/>
        </w:rPr>
        <w:t>①</w:t>
      </w:r>
      <w:r>
        <w:rPr>
          <w:rFonts w:hint="eastAsia" w:asciiTheme="minorEastAsia" w:hAnsiTheme="minorEastAsia" w:eastAsiaTheme="minorEastAsia" w:cstheme="minorEastAsia"/>
          <w:bCs/>
          <w:kern w:val="0"/>
          <w:sz w:val="28"/>
          <w:szCs w:val="28"/>
          <w:lang w:val="zh-TW" w:eastAsia="zh-TW"/>
        </w:rPr>
        <w:t>按照“应建必建”的原则，全面开展绿色矿山建设，大力推动发展绿色矿业</w:t>
      </w:r>
      <w:r>
        <w:rPr>
          <w:rFonts w:hint="eastAsia" w:asciiTheme="minorEastAsia" w:hAnsiTheme="minorEastAsia" w:eastAsiaTheme="minorEastAsia" w:cstheme="minorEastAsia"/>
          <w:bCs/>
          <w:kern w:val="0"/>
          <w:sz w:val="28"/>
          <w:szCs w:val="28"/>
          <w:lang w:val="zh-TW"/>
        </w:rPr>
        <w:t>。</w:t>
      </w:r>
    </w:p>
    <w:p>
      <w:pPr>
        <w:spacing w:line="360" w:lineRule="auto"/>
        <w:ind w:firstLine="560" w:firstLineChars="200"/>
        <w:rPr>
          <w:rFonts w:asciiTheme="minorEastAsia" w:hAnsiTheme="minorEastAsia" w:eastAsiaTheme="minorEastAsia" w:cstheme="minorEastAsia"/>
          <w:bCs/>
          <w:kern w:val="0"/>
          <w:sz w:val="28"/>
          <w:szCs w:val="28"/>
          <w:lang w:val="zh-TW" w:eastAsia="zh-TW"/>
        </w:rPr>
      </w:pPr>
      <w:r>
        <w:rPr>
          <w:rFonts w:hint="eastAsia" w:asciiTheme="minorEastAsia" w:hAnsiTheme="minorEastAsia" w:eastAsiaTheme="minorEastAsia" w:cstheme="minorEastAsia"/>
          <w:kern w:val="0"/>
          <w:sz w:val="28"/>
          <w:szCs w:val="28"/>
          <w:lang w:val="zh-TW"/>
        </w:rPr>
        <w:t>②</w:t>
      </w:r>
      <w:r>
        <w:rPr>
          <w:rFonts w:hint="eastAsia" w:asciiTheme="minorEastAsia" w:hAnsiTheme="minorEastAsia" w:eastAsiaTheme="minorEastAsia" w:cstheme="minorEastAsia"/>
          <w:bCs/>
          <w:kern w:val="0"/>
          <w:sz w:val="28"/>
          <w:szCs w:val="28"/>
          <w:lang w:val="zh-TW" w:eastAsia="zh-TW"/>
        </w:rPr>
        <w:t>露天矿山形成自上而下台阶式开采、封闭式加工运输、无尘化作业、减嗓降噪生产、无尾砂遗弃和园林式办公的外部面貌，地下矿山形成井口、选厂、堆场、办公等场地整洁、绿化和美化的外部环境</w:t>
      </w:r>
      <w:r>
        <w:rPr>
          <w:rFonts w:hint="eastAsia" w:asciiTheme="minorEastAsia" w:hAnsiTheme="minorEastAsia" w:eastAsiaTheme="minorEastAsia" w:cstheme="minorEastAsia"/>
          <w:bCs/>
          <w:kern w:val="0"/>
          <w:sz w:val="28"/>
          <w:szCs w:val="28"/>
          <w:lang w:val="zh-TW"/>
        </w:rPr>
        <w:t>。</w:t>
      </w:r>
    </w:p>
    <w:p>
      <w:pPr>
        <w:spacing w:line="360" w:lineRule="auto"/>
        <w:ind w:firstLine="560" w:firstLineChars="200"/>
        <w:rPr>
          <w:rFonts w:asciiTheme="minorEastAsia" w:hAnsiTheme="minorEastAsia" w:eastAsiaTheme="minorEastAsia" w:cstheme="minorEastAsia"/>
          <w:bCs/>
          <w:kern w:val="0"/>
          <w:sz w:val="28"/>
          <w:szCs w:val="28"/>
          <w:lang w:val="zh-TW" w:eastAsia="zh-TW"/>
        </w:rPr>
      </w:pPr>
      <w:r>
        <w:rPr>
          <w:rFonts w:hint="eastAsia" w:asciiTheme="minorEastAsia" w:hAnsiTheme="minorEastAsia" w:eastAsiaTheme="minorEastAsia" w:cstheme="minorEastAsia"/>
          <w:kern w:val="0"/>
          <w:sz w:val="28"/>
          <w:szCs w:val="28"/>
          <w:lang w:val="zh-TW"/>
        </w:rPr>
        <w:t>③</w:t>
      </w:r>
      <w:r>
        <w:rPr>
          <w:rFonts w:hint="eastAsia" w:asciiTheme="minorEastAsia" w:hAnsiTheme="minorEastAsia" w:eastAsiaTheme="minorEastAsia" w:cstheme="minorEastAsia"/>
          <w:bCs/>
          <w:kern w:val="0"/>
          <w:sz w:val="28"/>
          <w:szCs w:val="28"/>
          <w:lang w:val="zh-TW" w:eastAsia="zh-TW"/>
        </w:rPr>
        <w:t>优化绿色矿山建设内容，针对不同矿种、不同开釆方式，探索不同类型矿山绿色开发新模式，实现工艺先进、节约髙效、生态优良、社企和谐</w:t>
      </w:r>
      <w:r>
        <w:rPr>
          <w:rFonts w:hint="eastAsia" w:asciiTheme="minorEastAsia" w:hAnsiTheme="minorEastAsia" w:eastAsiaTheme="minorEastAsia" w:cstheme="minorEastAsia"/>
          <w:bCs/>
          <w:kern w:val="0"/>
          <w:sz w:val="28"/>
          <w:szCs w:val="28"/>
          <w:lang w:val="zh-TW"/>
        </w:rPr>
        <w:t>，</w:t>
      </w:r>
      <w:r>
        <w:rPr>
          <w:rFonts w:hint="eastAsia" w:asciiTheme="minorEastAsia" w:hAnsiTheme="minorEastAsia" w:eastAsiaTheme="minorEastAsia" w:cstheme="minorEastAsia"/>
          <w:bCs/>
          <w:kern w:val="0"/>
          <w:sz w:val="28"/>
          <w:szCs w:val="28"/>
          <w:lang w:val="zh-TW" w:eastAsia="zh-TW"/>
        </w:rPr>
        <w:t>提</w:t>
      </w:r>
      <w:r>
        <w:rPr>
          <w:rFonts w:hint="eastAsia" w:asciiTheme="minorEastAsia" w:hAnsiTheme="minorEastAsia" w:eastAsiaTheme="minorEastAsia" w:cstheme="minorEastAsia"/>
          <w:bCs/>
          <w:kern w:val="0"/>
          <w:sz w:val="28"/>
          <w:szCs w:val="28"/>
          <w:lang w:val="zh-TW"/>
        </w:rPr>
        <w:t>高</w:t>
      </w:r>
      <w:r>
        <w:rPr>
          <w:rFonts w:hint="eastAsia" w:asciiTheme="minorEastAsia" w:hAnsiTheme="minorEastAsia" w:eastAsiaTheme="minorEastAsia" w:cstheme="minorEastAsia"/>
          <w:bCs/>
          <w:kern w:val="0"/>
          <w:sz w:val="28"/>
          <w:szCs w:val="28"/>
          <w:lang w:val="zh-TW" w:eastAsia="zh-TW"/>
        </w:rPr>
        <w:t>建筑用石料绿色矿山建成率和省级、国家级绿色矿山的比重，树立一批在国内同类矿种起引领作用的绿色矿山标杆</w:t>
      </w:r>
      <w:r>
        <w:rPr>
          <w:rFonts w:hint="eastAsia" w:asciiTheme="minorEastAsia" w:hAnsiTheme="minorEastAsia" w:eastAsiaTheme="minorEastAsia" w:cstheme="minorEastAsia"/>
          <w:bCs/>
          <w:kern w:val="0"/>
          <w:sz w:val="28"/>
          <w:szCs w:val="28"/>
          <w:lang w:val="zh-TW"/>
        </w:rPr>
        <w:t>。</w:t>
      </w:r>
    </w:p>
    <w:p>
      <w:pPr>
        <w:spacing w:line="480" w:lineRule="auto"/>
        <w:ind w:firstLine="560" w:firstLineChars="200"/>
        <w:rPr>
          <w:rFonts w:asciiTheme="minorEastAsia" w:hAnsiTheme="minorEastAsia" w:eastAsiaTheme="minorEastAsia" w:cstheme="minorEastAsia"/>
          <w:bCs/>
          <w:kern w:val="0"/>
          <w:sz w:val="28"/>
          <w:szCs w:val="28"/>
          <w:lang w:val="zh-TW"/>
        </w:rPr>
      </w:pPr>
      <w:r>
        <w:rPr>
          <w:rFonts w:hint="eastAsia" w:asciiTheme="minorEastAsia" w:hAnsiTheme="minorEastAsia" w:eastAsiaTheme="minorEastAsia" w:cstheme="minorEastAsia"/>
          <w:kern w:val="0"/>
          <w:sz w:val="28"/>
          <w:szCs w:val="28"/>
          <w:lang w:val="zh-TW"/>
        </w:rPr>
        <w:t>④</w:t>
      </w:r>
      <w:r>
        <w:rPr>
          <w:rFonts w:hint="eastAsia" w:asciiTheme="minorEastAsia" w:hAnsiTheme="minorEastAsia" w:eastAsiaTheme="minorEastAsia" w:cstheme="minorEastAsia"/>
          <w:bCs/>
          <w:kern w:val="0"/>
          <w:sz w:val="28"/>
          <w:szCs w:val="28"/>
          <w:lang w:val="zh-TW" w:eastAsia="zh-TW"/>
        </w:rPr>
        <w:t>针对矿山不同开发阶段的特点和要求</w:t>
      </w:r>
      <w:r>
        <w:rPr>
          <w:rFonts w:hint="eastAsia" w:asciiTheme="minorEastAsia" w:hAnsiTheme="minorEastAsia" w:eastAsiaTheme="minorEastAsia" w:cstheme="minorEastAsia"/>
          <w:bCs/>
          <w:kern w:val="0"/>
          <w:sz w:val="28"/>
          <w:szCs w:val="28"/>
          <w:lang w:val="zh-TW"/>
        </w:rPr>
        <w:t>，</w:t>
      </w:r>
      <w:r>
        <w:rPr>
          <w:rFonts w:hint="eastAsia" w:asciiTheme="minorEastAsia" w:hAnsiTheme="minorEastAsia" w:eastAsiaTheme="minorEastAsia" w:cstheme="minorEastAsia"/>
          <w:bCs/>
          <w:kern w:val="0"/>
          <w:sz w:val="28"/>
          <w:szCs w:val="28"/>
          <w:lang w:val="zh-TW" w:eastAsia="zh-TW"/>
        </w:rPr>
        <w:t>实现矿山生态环境全过程的动态管理</w:t>
      </w:r>
      <w:r>
        <w:rPr>
          <w:rFonts w:hint="eastAsia" w:asciiTheme="minorEastAsia" w:hAnsiTheme="minorEastAsia" w:eastAsiaTheme="minorEastAsia" w:cstheme="minorEastAsia"/>
          <w:bCs/>
          <w:kern w:val="0"/>
          <w:sz w:val="28"/>
          <w:szCs w:val="28"/>
          <w:lang w:val="zh-TW"/>
        </w:rPr>
        <w:t>。</w:t>
      </w:r>
    </w:p>
    <w:p>
      <w:pPr>
        <w:spacing w:line="360" w:lineRule="auto"/>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2、矿山开采与环境综合治理并进。</w:t>
      </w:r>
    </w:p>
    <w:p>
      <w:pPr>
        <w:spacing w:line="360" w:lineRule="auto"/>
        <w:ind w:firstLine="560" w:firstLineChars="200"/>
        <w:rPr>
          <w:rFonts w:ascii="宋体" w:hAnsi="宋体"/>
          <w:sz w:val="28"/>
          <w:szCs w:val="28"/>
          <w:lang w:val="zh-CN"/>
        </w:rPr>
      </w:pPr>
      <w:r>
        <w:rPr>
          <w:rFonts w:ascii="宋体" w:hAnsi="宋体"/>
          <w:sz w:val="28"/>
          <w:szCs w:val="28"/>
          <w:lang w:val="zh-CN"/>
        </w:rPr>
        <w:t>按照“谁破坏、谁治理”</w:t>
      </w:r>
      <w:r>
        <w:rPr>
          <w:rFonts w:hint="eastAsia" w:ascii="宋体" w:hAnsi="宋体"/>
          <w:sz w:val="28"/>
          <w:szCs w:val="28"/>
          <w:lang w:val="zh-CN"/>
        </w:rPr>
        <w:t>及</w:t>
      </w:r>
      <w:r>
        <w:rPr>
          <w:rFonts w:ascii="宋体" w:hAnsi="宋体"/>
          <w:sz w:val="28"/>
          <w:szCs w:val="28"/>
          <w:lang w:val="zh-CN"/>
        </w:rPr>
        <w:t>“谁开采、谁保护、边开采、边治理”</w:t>
      </w:r>
      <w:r>
        <w:rPr>
          <w:rFonts w:hint="eastAsia" w:ascii="宋体" w:hAnsi="宋体"/>
          <w:sz w:val="28"/>
          <w:szCs w:val="28"/>
          <w:lang w:val="zh-CN"/>
        </w:rPr>
        <w:t>的</w:t>
      </w:r>
      <w:r>
        <w:rPr>
          <w:rFonts w:ascii="宋体" w:hAnsi="宋体"/>
          <w:sz w:val="28"/>
          <w:szCs w:val="28"/>
          <w:lang w:val="zh-CN"/>
        </w:rPr>
        <w:t>原则，</w:t>
      </w:r>
      <w:r>
        <w:rPr>
          <w:rFonts w:hint="eastAsia" w:ascii="宋体" w:hAnsi="宋体"/>
          <w:sz w:val="28"/>
          <w:szCs w:val="28"/>
          <w:lang w:val="zh-CN"/>
        </w:rPr>
        <w:t>落实责任主体；</w:t>
      </w:r>
      <w:r>
        <w:rPr>
          <w:rFonts w:ascii="宋体" w:hAnsi="宋体"/>
          <w:sz w:val="28"/>
          <w:szCs w:val="28"/>
          <w:lang w:val="zh-CN"/>
        </w:rPr>
        <w:t>按照绿色矿山建设的标准，</w:t>
      </w:r>
      <w:r>
        <w:rPr>
          <w:rFonts w:hint="eastAsia" w:ascii="宋体" w:hAnsi="宋体"/>
          <w:sz w:val="28"/>
          <w:szCs w:val="28"/>
          <w:lang w:val="zh-CN"/>
        </w:rPr>
        <w:t>对矿山生态环境修复方案为依据，</w:t>
      </w:r>
      <w:r>
        <w:rPr>
          <w:rFonts w:ascii="宋体" w:hAnsi="宋体"/>
          <w:sz w:val="28"/>
          <w:szCs w:val="28"/>
          <w:lang w:val="zh-CN"/>
        </w:rPr>
        <w:t>加大矿山环境保护和生态修复</w:t>
      </w:r>
      <w:r>
        <w:rPr>
          <w:rFonts w:hint="eastAsia" w:ascii="宋体" w:hAnsi="宋体"/>
          <w:sz w:val="28"/>
          <w:szCs w:val="28"/>
        </w:rPr>
        <w:t>复绿</w:t>
      </w:r>
      <w:r>
        <w:rPr>
          <w:rFonts w:ascii="宋体" w:hAnsi="宋体"/>
          <w:sz w:val="28"/>
          <w:szCs w:val="28"/>
          <w:lang w:val="zh-CN"/>
        </w:rPr>
        <w:t>的力度，努力恢复绿水青山。</w:t>
      </w:r>
    </w:p>
    <w:p>
      <w:pPr>
        <w:spacing w:line="480" w:lineRule="auto"/>
        <w:ind w:firstLine="560" w:firstLineChars="200"/>
        <w:rPr>
          <w:rFonts w:ascii="宋体" w:hAnsi="宋体"/>
          <w:sz w:val="28"/>
          <w:szCs w:val="28"/>
        </w:rPr>
      </w:pPr>
      <w:r>
        <w:rPr>
          <w:rFonts w:hint="eastAsia" w:ascii="宋体" w:hAnsi="宋体"/>
          <w:sz w:val="28"/>
          <w:szCs w:val="28"/>
        </w:rPr>
        <w:t>坚持“谁破坏谁治理、谁治理谁受益”的原则，将矿区治理与土地开发、产业发展、城市建设、环境绿化等有机衔接，依照“宜耕则耕、宜地则地、宜景则景、宜林则林”的要求，科学规划空间功能。</w:t>
      </w:r>
    </w:p>
    <w:p>
      <w:pPr>
        <w:spacing w:line="360" w:lineRule="auto"/>
        <w:ind w:firstLine="562" w:firstLineChars="200"/>
        <w:rPr>
          <w:rFonts w:asciiTheme="minorEastAsia" w:hAnsiTheme="minorEastAsia" w:eastAsiaTheme="minorEastAsia" w:cstheme="minorEastAsia"/>
          <w:b/>
          <w:bCs/>
          <w:sz w:val="28"/>
          <w:szCs w:val="28"/>
        </w:rPr>
      </w:pPr>
      <w:bookmarkStart w:id="23" w:name="_Toc3259_WPSOffice_Level2"/>
      <w:bookmarkStart w:id="24" w:name="_Toc11894"/>
      <w:bookmarkStart w:id="25" w:name="_Toc19900"/>
      <w:bookmarkStart w:id="26" w:name="_Toc1514"/>
      <w:bookmarkStart w:id="27" w:name="_Toc23459492"/>
      <w:bookmarkStart w:id="28" w:name="_Toc31759"/>
      <w:r>
        <w:rPr>
          <w:rFonts w:hint="eastAsia" w:asciiTheme="minorEastAsia" w:hAnsiTheme="minorEastAsia" w:eastAsiaTheme="minorEastAsia" w:cstheme="minorEastAsia"/>
          <w:b/>
          <w:bCs/>
          <w:sz w:val="28"/>
          <w:szCs w:val="28"/>
        </w:rPr>
        <w:t>3、强化矿山废水、废石、废渣综合利用</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(1)开发利用条件和方向</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在工厂附近设置的砖厂可利用工厂废弃的可利用资源（炉渣、选矿废料）进行制砖，利用砖厂不能利用的粗砂土可分选砂石或做复垦的填土。</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对于砂石料砾度较大的砾石要充分利用，一是破成3～5cm的碎石；二是供应农田水利设施建设之用。</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(2)开采利用率和综合利用率规划指标</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为使矿产资源合理开采、合理回收，延长矿山寿命，矿山企业必须执行国家规定的“三率”指标。有设计的须按批准的设计执行。</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(3)废石等综合利用的方向</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对于粘土矿山可利用废弃的炉渣（煤烧完后的产物）于火烧石上粉碎后掺入粘土中制砖，利用选矿过后的尾砂掺入粘土中制砖。</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对于砂石料砾度较大的砾石要充分利用，一是破成3～5cm的碎石；二是供应农田水利设施建设之用。</w:t>
      </w:r>
    </w:p>
    <w:p>
      <w:pPr>
        <w:spacing w:line="360" w:lineRule="auto"/>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4、完善矿山生态环境监测</w:t>
      </w:r>
      <w:bookmarkEnd w:id="23"/>
      <w:bookmarkEnd w:id="24"/>
      <w:bookmarkEnd w:id="25"/>
      <w:bookmarkEnd w:id="26"/>
      <w:bookmarkEnd w:id="27"/>
      <w:bookmarkEnd w:id="28"/>
    </w:p>
    <w:p>
      <w:pPr>
        <w:shd w:val="clear" w:color="auto" w:fill="FFFFFF"/>
        <w:snapToGrid w:val="0"/>
        <w:spacing w:line="360" w:lineRule="auto"/>
        <w:ind w:firstLine="520" w:firstLineChars="186"/>
        <w:rPr>
          <w:rFonts w:ascii="宋体" w:hAnsi="宋体" w:cs="宋体"/>
          <w:sz w:val="28"/>
          <w:szCs w:val="28"/>
        </w:rPr>
      </w:pPr>
      <w:r>
        <w:rPr>
          <w:rFonts w:hint="eastAsia" w:ascii="宋体" w:hAnsi="宋体" w:cs="宋体"/>
          <w:sz w:val="28"/>
          <w:szCs w:val="28"/>
        </w:rPr>
        <w:t>①</w:t>
      </w:r>
      <w:r>
        <w:rPr>
          <w:rFonts w:ascii="宋体" w:hAnsi="宋体" w:cs="宋体"/>
          <w:sz w:val="28"/>
          <w:szCs w:val="28"/>
        </w:rPr>
        <w:t>完善全</w:t>
      </w:r>
      <w:r>
        <w:rPr>
          <w:rFonts w:hint="eastAsia" w:ascii="宋体" w:hAnsi="宋体" w:cs="宋体"/>
          <w:sz w:val="28"/>
          <w:szCs w:val="28"/>
        </w:rPr>
        <w:t>市</w:t>
      </w:r>
      <w:r>
        <w:rPr>
          <w:rFonts w:ascii="宋体" w:hAnsi="宋体" w:cs="宋体"/>
          <w:sz w:val="28"/>
          <w:szCs w:val="28"/>
        </w:rPr>
        <w:t>矿山地质环境行政监督管理体系</w:t>
      </w:r>
      <w:r>
        <w:rPr>
          <w:rFonts w:hint="eastAsia" w:ascii="宋体" w:hAnsi="宋体" w:cs="宋体"/>
          <w:sz w:val="28"/>
          <w:szCs w:val="28"/>
        </w:rPr>
        <w:t>建设</w:t>
      </w:r>
      <w:r>
        <w:rPr>
          <w:rFonts w:ascii="宋体" w:hAnsi="宋体" w:cs="宋体"/>
          <w:sz w:val="28"/>
          <w:szCs w:val="28"/>
        </w:rPr>
        <w:t>，推进全</w:t>
      </w:r>
      <w:r>
        <w:rPr>
          <w:rFonts w:hint="eastAsia" w:ascii="宋体" w:hAnsi="宋体" w:cs="宋体"/>
          <w:sz w:val="28"/>
          <w:szCs w:val="28"/>
        </w:rPr>
        <w:t>市生产</w:t>
      </w:r>
      <w:r>
        <w:rPr>
          <w:rFonts w:ascii="宋体" w:hAnsi="宋体" w:cs="宋体"/>
          <w:sz w:val="28"/>
          <w:szCs w:val="28"/>
        </w:rPr>
        <w:t>矿山</w:t>
      </w:r>
      <w:r>
        <w:rPr>
          <w:rFonts w:hint="eastAsia" w:ascii="宋体" w:hAnsi="宋体" w:cs="宋体"/>
          <w:sz w:val="28"/>
          <w:szCs w:val="28"/>
        </w:rPr>
        <w:t>与延续矿山生态修复分期验收工作的全面实施</w:t>
      </w:r>
      <w:r>
        <w:rPr>
          <w:rFonts w:ascii="宋体" w:hAnsi="宋体" w:cs="宋体"/>
          <w:sz w:val="28"/>
          <w:szCs w:val="28"/>
        </w:rPr>
        <w:t>。</w:t>
      </w:r>
    </w:p>
    <w:p>
      <w:pPr>
        <w:shd w:val="clear" w:color="auto" w:fill="FFFFFF"/>
        <w:snapToGrid w:val="0"/>
        <w:spacing w:line="360" w:lineRule="auto"/>
        <w:ind w:firstLine="520" w:firstLineChars="186"/>
        <w:rPr>
          <w:rFonts w:ascii="宋体" w:hAnsi="宋体" w:cs="宋体"/>
          <w:sz w:val="28"/>
          <w:szCs w:val="28"/>
        </w:rPr>
      </w:pPr>
      <w:r>
        <w:rPr>
          <w:rFonts w:hint="eastAsia" w:ascii="宋体" w:hAnsi="宋体" w:cs="宋体"/>
          <w:sz w:val="28"/>
          <w:szCs w:val="28"/>
        </w:rPr>
        <w:t>②</w:t>
      </w:r>
      <w:r>
        <w:rPr>
          <w:rFonts w:ascii="宋体" w:hAnsi="宋体" w:cs="宋体"/>
          <w:sz w:val="28"/>
          <w:szCs w:val="28"/>
        </w:rPr>
        <w:t>全面实行矿山地质环境基金制度，</w:t>
      </w:r>
      <w:r>
        <w:rPr>
          <w:rFonts w:hint="eastAsia" w:ascii="宋体" w:hAnsi="宋体" w:cs="宋体"/>
          <w:sz w:val="28"/>
          <w:szCs w:val="28"/>
        </w:rPr>
        <w:t>严格</w:t>
      </w:r>
      <w:r>
        <w:rPr>
          <w:rFonts w:ascii="宋体" w:hAnsi="宋体" w:cs="宋体"/>
          <w:sz w:val="28"/>
          <w:szCs w:val="28"/>
        </w:rPr>
        <w:t>生产矿山</w:t>
      </w:r>
      <w:r>
        <w:rPr>
          <w:rFonts w:hint="eastAsia" w:ascii="宋体" w:hAnsi="宋体" w:cs="宋体"/>
          <w:sz w:val="28"/>
          <w:szCs w:val="28"/>
        </w:rPr>
        <w:t>生态</w:t>
      </w:r>
      <w:r>
        <w:rPr>
          <w:rFonts w:ascii="宋体" w:hAnsi="宋体" w:cs="宋体"/>
          <w:sz w:val="28"/>
          <w:szCs w:val="28"/>
        </w:rPr>
        <w:t>的</w:t>
      </w:r>
      <w:r>
        <w:rPr>
          <w:rFonts w:hint="eastAsia" w:ascii="宋体" w:hAnsi="宋体" w:cs="宋体"/>
          <w:sz w:val="28"/>
          <w:szCs w:val="28"/>
        </w:rPr>
        <w:t>分期</w:t>
      </w:r>
      <w:r>
        <w:rPr>
          <w:rFonts w:ascii="宋体" w:hAnsi="宋体" w:cs="宋体"/>
          <w:sz w:val="28"/>
          <w:szCs w:val="28"/>
        </w:rPr>
        <w:t>治理</w:t>
      </w:r>
      <w:r>
        <w:rPr>
          <w:rFonts w:hint="eastAsia" w:ascii="宋体" w:hAnsi="宋体" w:cs="宋体"/>
          <w:sz w:val="28"/>
          <w:szCs w:val="28"/>
        </w:rPr>
        <w:t>与验收工作</w:t>
      </w:r>
      <w:r>
        <w:rPr>
          <w:rFonts w:ascii="宋体" w:hAnsi="宋体" w:cs="宋体"/>
          <w:sz w:val="28"/>
          <w:szCs w:val="28"/>
        </w:rPr>
        <w:t>。同时，建立矿山地质环境动态监管制度，加强对企业矿山地质环境治理恢复的监督检查。</w:t>
      </w:r>
    </w:p>
    <w:p>
      <w:pPr>
        <w:shd w:val="clear" w:color="auto" w:fill="FFFFFF"/>
        <w:snapToGrid w:val="0"/>
        <w:spacing w:line="360" w:lineRule="auto"/>
        <w:ind w:firstLine="520" w:firstLineChars="186"/>
        <w:rPr>
          <w:rFonts w:ascii="宋体" w:hAnsi="宋体" w:cs="宋体"/>
          <w:sz w:val="28"/>
          <w:szCs w:val="28"/>
        </w:rPr>
      </w:pPr>
      <w:r>
        <w:rPr>
          <w:rFonts w:hint="eastAsia" w:ascii="宋体" w:hAnsi="宋体" w:cs="宋体"/>
          <w:sz w:val="28"/>
          <w:szCs w:val="28"/>
        </w:rPr>
        <w:t>③</w:t>
      </w:r>
      <w:r>
        <w:rPr>
          <w:rFonts w:ascii="宋体" w:hAnsi="宋体" w:cs="宋体"/>
          <w:sz w:val="28"/>
          <w:szCs w:val="28"/>
        </w:rPr>
        <w:t>全面实行矿山</w:t>
      </w:r>
      <w:r>
        <w:rPr>
          <w:rFonts w:hint="eastAsia" w:ascii="宋体" w:hAnsi="宋体" w:cs="宋体"/>
          <w:sz w:val="28"/>
          <w:szCs w:val="28"/>
        </w:rPr>
        <w:t>生态</w:t>
      </w:r>
      <w:r>
        <w:rPr>
          <w:rFonts w:ascii="宋体" w:hAnsi="宋体" w:cs="宋体"/>
          <w:sz w:val="28"/>
          <w:szCs w:val="28"/>
        </w:rPr>
        <w:t>环境保护与恢复治理方案编制制度，生产、新建、扩建矿山必须编制矿山地质环境保护与土地复垦</w:t>
      </w:r>
      <w:r>
        <w:rPr>
          <w:rFonts w:hint="eastAsia" w:ascii="宋体" w:hAnsi="宋体" w:cs="宋体"/>
          <w:sz w:val="28"/>
          <w:szCs w:val="28"/>
        </w:rPr>
        <w:t>综合防治</w:t>
      </w:r>
      <w:r>
        <w:rPr>
          <w:rFonts w:ascii="宋体" w:hAnsi="宋体" w:cs="宋体"/>
          <w:sz w:val="28"/>
          <w:szCs w:val="28"/>
        </w:rPr>
        <w:t>方案，并将方案的实施落实到日常矿山地质环境管理工作中。</w:t>
      </w:r>
    </w:p>
    <w:p>
      <w:pPr>
        <w:shd w:val="clear" w:color="auto" w:fill="FFFFFF"/>
        <w:snapToGrid w:val="0"/>
        <w:spacing w:line="360" w:lineRule="auto"/>
        <w:ind w:firstLine="520" w:firstLineChars="186"/>
        <w:rPr>
          <w:rFonts w:ascii="宋体" w:hAnsi="宋体" w:cs="宋体"/>
          <w:sz w:val="28"/>
          <w:szCs w:val="28"/>
        </w:rPr>
      </w:pPr>
      <w:r>
        <w:rPr>
          <w:rFonts w:hint="eastAsia" w:ascii="宋体" w:hAnsi="宋体" w:cs="宋体"/>
          <w:sz w:val="28"/>
          <w:szCs w:val="28"/>
        </w:rPr>
        <w:t>④未完的养护与验收工作纳入下年度正常的矿山生态环境保护与治理恢复监管工作中，使得市镜内的矿业活动与矿山生态环境进入一个良性循环状态，</w:t>
      </w:r>
      <w:r>
        <w:rPr>
          <w:rFonts w:ascii="宋体" w:hAnsi="宋体" w:cs="宋体"/>
          <w:sz w:val="28"/>
          <w:szCs w:val="28"/>
        </w:rPr>
        <w:t>形成良好的生产、生活环境和生态环境。</w:t>
      </w:r>
    </w:p>
    <w:p>
      <w:pPr>
        <w:pStyle w:val="5"/>
        <w:ind w:firstLine="562" w:firstLineChars="200"/>
        <w:rPr>
          <w:rFonts w:hint="default"/>
          <w:sz w:val="28"/>
          <w:szCs w:val="28"/>
        </w:rPr>
      </w:pPr>
      <w:bookmarkStart w:id="29" w:name="_Toc4208"/>
      <w:r>
        <w:rPr>
          <w:sz w:val="28"/>
          <w:szCs w:val="28"/>
        </w:rPr>
        <w:t>(二)历史遗留矿山生态环境修复治理</w:t>
      </w:r>
      <w:bookmarkEnd w:id="29"/>
    </w:p>
    <w:p>
      <w:pPr>
        <w:shd w:val="clear" w:color="auto" w:fill="FFFFFF"/>
        <w:snapToGrid w:val="0"/>
        <w:spacing w:line="360" w:lineRule="auto"/>
        <w:ind w:firstLine="520" w:firstLineChars="186"/>
        <w:rPr>
          <w:rFonts w:ascii="宋体" w:hAnsi="宋体" w:cs="宋体"/>
          <w:sz w:val="28"/>
          <w:szCs w:val="28"/>
        </w:rPr>
      </w:pPr>
      <w:bookmarkStart w:id="30" w:name="_Toc124304206"/>
      <w:r>
        <w:rPr>
          <w:rFonts w:hint="eastAsia" w:ascii="宋体" w:hAnsi="宋体" w:cs="宋体"/>
          <w:sz w:val="28"/>
          <w:szCs w:val="28"/>
        </w:rPr>
        <w:t>通过</w:t>
      </w:r>
      <w:r>
        <w:rPr>
          <w:rFonts w:ascii="宋体" w:hAnsi="宋体" w:cs="宋体"/>
          <w:sz w:val="28"/>
          <w:szCs w:val="28"/>
        </w:rPr>
        <w:t>全面查清</w:t>
      </w:r>
      <w:r>
        <w:rPr>
          <w:rFonts w:hint="eastAsia" w:ascii="宋体" w:hAnsi="宋体" w:cs="宋体"/>
          <w:sz w:val="28"/>
          <w:szCs w:val="28"/>
        </w:rPr>
        <w:t>全市</w:t>
      </w:r>
      <w:r>
        <w:rPr>
          <w:rFonts w:ascii="宋体" w:hAnsi="宋体" w:cs="宋体"/>
          <w:sz w:val="28"/>
          <w:szCs w:val="28"/>
        </w:rPr>
        <w:t>矿山责任主体灭失矿山和采矿废石废渣情况，逐矿逐项统计分析汇总，</w:t>
      </w:r>
      <w:r>
        <w:rPr>
          <w:rFonts w:hint="eastAsia" w:ascii="宋体" w:hAnsi="宋体" w:cs="宋体"/>
          <w:sz w:val="28"/>
          <w:szCs w:val="28"/>
        </w:rPr>
        <w:t>所有废弃矿山（点）和其他裸露山体，要明确治理措施或方案，</w:t>
      </w:r>
      <w:r>
        <w:rPr>
          <w:rFonts w:ascii="宋体" w:hAnsi="宋体" w:cs="宋体"/>
          <w:sz w:val="28"/>
          <w:szCs w:val="28"/>
        </w:rPr>
        <w:t>按照“一矿一策”的要求制定整治方案，实行清查整治台账管理</w:t>
      </w:r>
      <w:r>
        <w:rPr>
          <w:rFonts w:hint="eastAsia" w:ascii="宋体" w:hAnsi="宋体" w:cs="宋体"/>
          <w:sz w:val="28"/>
          <w:szCs w:val="28"/>
        </w:rPr>
        <w:t>，建立健全档案，做到“一矿点一档一方案”。</w:t>
      </w:r>
    </w:p>
    <w:p>
      <w:pPr>
        <w:shd w:val="clear" w:color="auto" w:fill="FFFFFF"/>
        <w:snapToGrid w:val="0"/>
        <w:spacing w:line="360" w:lineRule="auto"/>
        <w:ind w:firstLine="520" w:firstLineChars="186"/>
        <w:rPr>
          <w:rFonts w:ascii="宋体" w:hAnsi="宋体" w:cs="宋体"/>
          <w:sz w:val="28"/>
          <w:szCs w:val="28"/>
          <w:lang w:val="zh-CN"/>
        </w:rPr>
      </w:pPr>
      <w:r>
        <w:rPr>
          <w:rFonts w:hint="eastAsia" w:ascii="宋体" w:hAnsi="宋体" w:cs="宋体"/>
          <w:sz w:val="28"/>
          <w:szCs w:val="28"/>
        </w:rPr>
        <w:t>开展损毁土地修复潜力调查评价，按照宜耕则耕、宜林则林、宜水则水、宜牧则牧的原则，统筹安排修复土地利用方向、规模和时序，确定矿山地质环境综合防治重点区域，确保矿山地质环境恢得治理规范有序开展，确保</w:t>
      </w:r>
      <w:r>
        <w:rPr>
          <w:rFonts w:ascii="宋体" w:hAnsi="宋体" w:cs="宋体"/>
          <w:sz w:val="28"/>
          <w:szCs w:val="28"/>
        </w:rPr>
        <w:t>202</w:t>
      </w:r>
      <w:r>
        <w:rPr>
          <w:rFonts w:hint="eastAsia" w:ascii="宋体" w:hAnsi="宋体" w:cs="宋体"/>
          <w:sz w:val="28"/>
          <w:szCs w:val="28"/>
        </w:rPr>
        <w:t>1</w:t>
      </w:r>
      <w:r>
        <w:rPr>
          <w:rFonts w:ascii="宋体" w:hAnsi="宋体" w:cs="宋体"/>
          <w:sz w:val="28"/>
          <w:szCs w:val="28"/>
        </w:rPr>
        <w:t>年底，历史遗留矿山地质环境治理恢复率达到</w:t>
      </w:r>
      <w:r>
        <w:rPr>
          <w:rFonts w:hint="eastAsia" w:ascii="宋体" w:hAnsi="宋体" w:cs="宋体"/>
          <w:sz w:val="28"/>
          <w:szCs w:val="28"/>
        </w:rPr>
        <w:t>10</w:t>
      </w:r>
      <w:r>
        <w:rPr>
          <w:rFonts w:ascii="宋体" w:hAnsi="宋体" w:cs="宋体"/>
          <w:sz w:val="28"/>
          <w:szCs w:val="28"/>
        </w:rPr>
        <w:t>0%</w:t>
      </w:r>
      <w:r>
        <w:rPr>
          <w:rFonts w:hint="eastAsia" w:ascii="宋体" w:hAnsi="宋体" w:cs="宋体"/>
          <w:sz w:val="28"/>
          <w:szCs w:val="28"/>
        </w:rPr>
        <w:t>，促进矿地综合利用</w:t>
      </w:r>
      <w:r>
        <w:rPr>
          <w:rFonts w:hint="eastAsia" w:ascii="宋体" w:hAnsi="宋体" w:cs="宋体"/>
          <w:sz w:val="28"/>
          <w:szCs w:val="28"/>
          <w:lang w:val="zh-CN"/>
        </w:rPr>
        <w:t>。</w:t>
      </w:r>
    </w:p>
    <w:p>
      <w:pPr>
        <w:spacing w:line="360" w:lineRule="auto"/>
        <w:ind w:firstLine="562" w:firstLineChars="200"/>
        <w:rPr>
          <w:rFonts w:asciiTheme="minorEastAsia" w:hAnsiTheme="minorEastAsia" w:eastAsiaTheme="minorEastAsia" w:cstheme="minorEastAsia"/>
          <w:b/>
          <w:bCs/>
          <w:sz w:val="28"/>
          <w:szCs w:val="28"/>
        </w:rPr>
      </w:pPr>
      <w:bookmarkStart w:id="31" w:name="_Toc23459491"/>
      <w:bookmarkStart w:id="32" w:name="_Toc12959"/>
      <w:bookmarkStart w:id="33" w:name="_Toc20758"/>
      <w:bookmarkStart w:id="34" w:name="_Toc32293"/>
      <w:bookmarkStart w:id="35" w:name="_Toc25820_WPSOffice_Level2"/>
      <w:r>
        <w:rPr>
          <w:rFonts w:hint="eastAsia" w:asciiTheme="minorEastAsia" w:hAnsiTheme="minorEastAsia" w:eastAsiaTheme="minorEastAsia" w:cstheme="minorEastAsia"/>
          <w:b/>
          <w:bCs/>
          <w:sz w:val="28"/>
          <w:szCs w:val="28"/>
        </w:rPr>
        <w:t>1、</w:t>
      </w:r>
      <w:bookmarkEnd w:id="31"/>
      <w:bookmarkEnd w:id="32"/>
      <w:bookmarkEnd w:id="33"/>
      <w:bookmarkEnd w:id="34"/>
      <w:bookmarkEnd w:id="35"/>
      <w:r>
        <w:rPr>
          <w:rFonts w:hint="eastAsia" w:ascii="宋体" w:hAnsi="宋体" w:cs="宋体"/>
          <w:b/>
          <w:bCs/>
          <w:sz w:val="28"/>
          <w:szCs w:val="28"/>
        </w:rPr>
        <w:t>矿山地质环境综合防治重点区域</w:t>
      </w:r>
    </w:p>
    <w:p>
      <w:pPr>
        <w:shd w:val="clear" w:color="auto" w:fill="FFFFFF"/>
        <w:snapToGrid w:val="0"/>
        <w:spacing w:line="360" w:lineRule="auto"/>
        <w:ind w:firstLine="520" w:firstLineChars="186"/>
        <w:rPr>
          <w:rFonts w:ascii="宋体" w:hAnsi="宋体" w:cs="宋体"/>
          <w:sz w:val="28"/>
          <w:szCs w:val="28"/>
          <w:lang w:val="zh-CN"/>
        </w:rPr>
      </w:pPr>
      <w:r>
        <w:rPr>
          <w:rFonts w:hint="eastAsia" w:ascii="宋体" w:hAnsi="宋体"/>
          <w:sz w:val="28"/>
          <w:szCs w:val="28"/>
          <w:lang w:val="zh-CN"/>
        </w:rPr>
        <w:t>结合耒阳市矿山分布现状和产业发展规划，</w:t>
      </w:r>
      <w:r>
        <w:rPr>
          <w:rFonts w:hint="eastAsia" w:ascii="宋体" w:hAnsi="宋体" w:cs="宋体"/>
          <w:sz w:val="28"/>
          <w:szCs w:val="28"/>
        </w:rPr>
        <w:t>完成2019年矿山直接关闭、2020年矿山限期退出的矿山生态修复方案编制、矿山生态修复等工作，</w:t>
      </w:r>
      <w:r>
        <w:rPr>
          <w:rFonts w:hint="eastAsia" w:ascii="宋体" w:hAnsi="宋体" w:cs="宋体"/>
          <w:sz w:val="28"/>
          <w:szCs w:val="28"/>
          <w:lang w:val="zh-CN"/>
        </w:rPr>
        <w:t>为</w:t>
      </w:r>
      <w:r>
        <w:rPr>
          <w:rFonts w:hint="eastAsia" w:ascii="宋体" w:hAnsi="宋体" w:cs="宋体"/>
          <w:sz w:val="28"/>
          <w:szCs w:val="28"/>
        </w:rPr>
        <w:t>便于施工管理和有序进行，</w:t>
      </w:r>
      <w:r>
        <w:rPr>
          <w:rFonts w:hint="eastAsia" w:ascii="宋体" w:hAnsi="宋体" w:cs="宋体"/>
          <w:sz w:val="28"/>
          <w:szCs w:val="28"/>
          <w:lang w:val="zh-CN"/>
        </w:rPr>
        <w:t>将全市辖区内矿山生态修复分为二个</w:t>
      </w:r>
      <w:r>
        <w:rPr>
          <w:rFonts w:hint="eastAsia" w:ascii="宋体" w:hAnsi="宋体" w:cs="宋体"/>
          <w:sz w:val="28"/>
          <w:szCs w:val="28"/>
        </w:rPr>
        <w:t>防治重点区域，需治理面积共26.24hm</w:t>
      </w:r>
      <w:r>
        <w:rPr>
          <w:rFonts w:hint="eastAsia" w:ascii="宋体" w:hAnsi="宋体" w:cs="宋体"/>
          <w:sz w:val="28"/>
          <w:szCs w:val="28"/>
          <w:vertAlign w:val="superscript"/>
        </w:rPr>
        <w:t>2</w:t>
      </w:r>
      <w:r>
        <w:rPr>
          <w:rFonts w:hint="eastAsia" w:ascii="宋体" w:hAnsi="宋体" w:cs="宋体"/>
          <w:sz w:val="28"/>
          <w:szCs w:val="28"/>
        </w:rPr>
        <w:t>。</w:t>
      </w:r>
    </w:p>
    <w:p>
      <w:pPr>
        <w:shd w:val="clear" w:color="auto" w:fill="FFFFFF"/>
        <w:snapToGrid w:val="0"/>
        <w:spacing w:line="360" w:lineRule="auto"/>
        <w:ind w:firstLine="520" w:firstLineChars="186"/>
        <w:rPr>
          <w:rFonts w:ascii="宋体" w:hAnsi="宋体" w:cs="宋体"/>
          <w:sz w:val="28"/>
          <w:szCs w:val="28"/>
        </w:rPr>
      </w:pPr>
      <w:r>
        <w:rPr>
          <w:rFonts w:hint="eastAsia" w:ascii="宋体" w:hAnsi="宋体" w:cs="宋体"/>
          <w:sz w:val="28"/>
          <w:szCs w:val="28"/>
        </w:rPr>
        <w:t>(1)2020年直接关闭矿山生态修复区</w:t>
      </w:r>
    </w:p>
    <w:p>
      <w:pPr>
        <w:shd w:val="clear" w:color="auto" w:fill="FFFFFF"/>
        <w:snapToGrid w:val="0"/>
        <w:spacing w:line="360" w:lineRule="auto"/>
        <w:ind w:firstLine="520" w:firstLineChars="186"/>
        <w:rPr>
          <w:rFonts w:asciiTheme="minorEastAsia" w:hAnsiTheme="minorEastAsia" w:eastAsiaTheme="minorEastAsia" w:cstheme="minorEastAsia"/>
          <w:bCs/>
          <w:kern w:val="0"/>
          <w:sz w:val="28"/>
          <w:szCs w:val="28"/>
          <w:lang w:val="zh-TW" w:eastAsia="zh-TW"/>
        </w:rPr>
      </w:pPr>
      <w:r>
        <w:rPr>
          <w:rFonts w:hint="eastAsia" w:ascii="宋体" w:hAnsi="宋体" w:cs="宋体"/>
          <w:sz w:val="28"/>
          <w:szCs w:val="28"/>
          <w:lang w:val="zh-TW" w:eastAsia="zh-TW"/>
        </w:rPr>
        <w:t>全面加大“谁开采、谁治理”责任落实情况的监督检查，运用各</w:t>
      </w:r>
      <w:r>
        <w:rPr>
          <w:rFonts w:hint="eastAsia" w:asciiTheme="minorEastAsia" w:hAnsiTheme="minorEastAsia" w:eastAsiaTheme="minorEastAsia" w:cstheme="minorEastAsia"/>
          <w:bCs/>
          <w:kern w:val="0"/>
          <w:sz w:val="28"/>
          <w:szCs w:val="28"/>
          <w:lang w:val="zh-TW" w:eastAsia="zh-TW"/>
        </w:rPr>
        <w:t>种手段，督促采矿权人依法依规履行矿山生态环境恢复治理责任，确保完成矿山地质灾害防治、污染物综合治理和矿山复绿复垦等相关恢复治理工作。</w:t>
      </w:r>
    </w:p>
    <w:p>
      <w:pPr>
        <w:shd w:val="clear" w:color="auto" w:fill="FFFFFF"/>
        <w:snapToGrid w:val="0"/>
        <w:spacing w:line="360" w:lineRule="auto"/>
        <w:ind w:firstLine="520" w:firstLineChars="186"/>
        <w:rPr>
          <w:rFonts w:ascii="宋体" w:hAnsi="宋体" w:cs="宋体"/>
          <w:sz w:val="28"/>
          <w:szCs w:val="28"/>
        </w:rPr>
      </w:pPr>
      <w:r>
        <w:rPr>
          <w:rFonts w:hint="eastAsia" w:asciiTheme="minorEastAsia" w:hAnsiTheme="minorEastAsia" w:eastAsiaTheme="minorEastAsia" w:cstheme="minorEastAsia"/>
          <w:bCs/>
          <w:kern w:val="0"/>
          <w:sz w:val="28"/>
          <w:szCs w:val="28"/>
          <w:lang w:val="zh-TW" w:eastAsia="zh-TW"/>
        </w:rPr>
        <w:t>2020年矿山直接关闭生态修复复绿，包括公平镇、长坪乡、大</w:t>
      </w:r>
      <w:r>
        <w:rPr>
          <w:rFonts w:hint="eastAsia" w:ascii="宋体" w:hAnsi="宋体" w:cs="宋体"/>
          <w:sz w:val="28"/>
          <w:szCs w:val="28"/>
        </w:rPr>
        <w:t>市镇、新市镇、龙塘镇、东湖圩镇、夏塘镇、泗门州镇、水东江、余庆街道处事处等十个乡镇及街道处事处矿山区域，详见专栏十二。</w:t>
      </w:r>
    </w:p>
    <w:p>
      <w:pPr>
        <w:rPr>
          <w:rFonts w:ascii="宋体" w:hAnsi="宋体" w:cs="MingLiU"/>
          <w:b/>
          <w:spacing w:val="10"/>
          <w:kern w:val="0"/>
          <w:szCs w:val="21"/>
          <w:lang w:val="zh-TW"/>
        </w:rPr>
      </w:pPr>
      <w:r>
        <w:rPr>
          <w:rFonts w:hint="eastAsia" w:ascii="宋体" w:hAnsi="宋体" w:cs="MingLiU"/>
          <w:b/>
          <w:spacing w:val="10"/>
          <w:kern w:val="0"/>
          <w:szCs w:val="21"/>
        </w:rPr>
        <w:t>专</w:t>
      </w:r>
      <w:r>
        <w:rPr>
          <w:rFonts w:hint="eastAsia" w:ascii="宋体" w:hAnsi="宋体" w:cs="MingLiU"/>
          <w:b/>
          <w:spacing w:val="10"/>
          <w:kern w:val="0"/>
          <w:szCs w:val="21"/>
          <w:lang w:val="zh-TW"/>
        </w:rPr>
        <w:t>栏</w:t>
      </w:r>
      <w:r>
        <w:rPr>
          <w:rFonts w:hint="eastAsia" w:ascii="宋体" w:hAnsi="宋体" w:cs="MingLiU"/>
          <w:b/>
          <w:spacing w:val="10"/>
          <w:kern w:val="0"/>
          <w:szCs w:val="21"/>
        </w:rPr>
        <w:t>十二          2020年</w:t>
      </w:r>
      <w:r>
        <w:rPr>
          <w:rFonts w:hint="eastAsia" w:ascii="宋体" w:hAnsi="宋体" w:cs="MingLiU"/>
          <w:b/>
          <w:spacing w:val="10"/>
          <w:kern w:val="0"/>
          <w:szCs w:val="21"/>
          <w:lang w:val="zh-TW"/>
        </w:rPr>
        <w:t>矿山直接关闭生态修复基本信息表</w:t>
      </w:r>
    </w:p>
    <w:tbl>
      <w:tblPr>
        <w:tblStyle w:val="17"/>
        <w:tblW w:w="903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787"/>
        <w:gridCol w:w="635"/>
        <w:gridCol w:w="3305"/>
        <w:gridCol w:w="849"/>
        <w:gridCol w:w="861"/>
        <w:gridCol w:w="1031"/>
        <w:gridCol w:w="1571"/>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atLeast"/>
          <w:tblHeader/>
          <w:jc w:val="center"/>
        </w:trPr>
        <w:tc>
          <w:tcPr>
            <w:tcW w:w="787" w:type="dxa"/>
            <w:shd w:val="clear" w:color="auto" w:fill="FFFFFF"/>
            <w:tcMar>
              <w:left w:w="28" w:type="dxa"/>
              <w:right w:w="28" w:type="dxa"/>
            </w:tcMar>
            <w:vAlign w:val="center"/>
          </w:tcPr>
          <w:p>
            <w:pPr>
              <w:widowControl/>
              <w:spacing w:line="200" w:lineRule="exact"/>
              <w:ind w:left="-10" w:leftChars="-5" w:right="-31" w:rightChars="-15"/>
              <w:jc w:val="center"/>
              <w:rPr>
                <w:b/>
                <w:bCs/>
                <w:kern w:val="0"/>
                <w:szCs w:val="21"/>
              </w:rPr>
            </w:pPr>
            <w:r>
              <w:rPr>
                <w:rFonts w:hint="eastAsia"/>
                <w:b/>
                <w:bCs/>
                <w:kern w:val="0"/>
                <w:szCs w:val="21"/>
              </w:rPr>
              <w:t>分段</w:t>
            </w:r>
          </w:p>
          <w:p>
            <w:pPr>
              <w:widowControl/>
              <w:spacing w:line="200" w:lineRule="exact"/>
              <w:ind w:left="-10" w:leftChars="-5" w:right="-31" w:rightChars="-15"/>
              <w:jc w:val="center"/>
              <w:rPr>
                <w:b/>
                <w:bCs/>
                <w:kern w:val="0"/>
                <w:szCs w:val="21"/>
              </w:rPr>
            </w:pPr>
            <w:r>
              <w:rPr>
                <w:rFonts w:hint="eastAsia"/>
                <w:b/>
                <w:bCs/>
                <w:kern w:val="0"/>
                <w:szCs w:val="21"/>
              </w:rPr>
              <w:t>时间</w:t>
            </w:r>
          </w:p>
        </w:tc>
        <w:tc>
          <w:tcPr>
            <w:tcW w:w="635" w:type="dxa"/>
            <w:tcBorders>
              <w:right w:val="single" w:color="auto" w:sz="4" w:space="0"/>
            </w:tcBorders>
            <w:shd w:val="clear" w:color="auto" w:fill="FFFFFF"/>
            <w:tcMar>
              <w:left w:w="28" w:type="dxa"/>
              <w:right w:w="28" w:type="dxa"/>
            </w:tcMar>
            <w:vAlign w:val="center"/>
          </w:tcPr>
          <w:p>
            <w:pPr>
              <w:widowControl/>
              <w:spacing w:line="200" w:lineRule="exact"/>
              <w:ind w:left="-10" w:leftChars="-5" w:right="-31" w:rightChars="-15"/>
              <w:jc w:val="center"/>
              <w:rPr>
                <w:b/>
                <w:bCs/>
                <w:kern w:val="0"/>
                <w:szCs w:val="21"/>
              </w:rPr>
            </w:pPr>
            <w:r>
              <w:rPr>
                <w:sz w:val="20"/>
                <w:szCs w:val="20"/>
              </w:rPr>
              <w:t>序号</w:t>
            </w:r>
            <w:r>
              <w:rPr>
                <w:b/>
                <w:bCs/>
                <w:kern w:val="0"/>
                <w:szCs w:val="21"/>
              </w:rPr>
              <w:tab/>
            </w:r>
          </w:p>
        </w:tc>
        <w:tc>
          <w:tcPr>
            <w:tcW w:w="3305" w:type="dxa"/>
            <w:tcBorders>
              <w:left w:val="single" w:color="auto" w:sz="4" w:space="0"/>
              <w:right w:val="single" w:color="auto" w:sz="4" w:space="0"/>
            </w:tcBorders>
            <w:shd w:val="clear" w:color="auto" w:fill="FFFFFF"/>
            <w:tcMar>
              <w:left w:w="28" w:type="dxa"/>
              <w:right w:w="28" w:type="dxa"/>
            </w:tcMar>
            <w:vAlign w:val="center"/>
          </w:tcPr>
          <w:p>
            <w:pPr>
              <w:widowControl/>
              <w:spacing w:line="200" w:lineRule="exact"/>
              <w:ind w:left="-10" w:leftChars="-5" w:right="-31" w:rightChars="-15"/>
              <w:jc w:val="center"/>
              <w:rPr>
                <w:b/>
                <w:bCs/>
                <w:kern w:val="0"/>
                <w:szCs w:val="21"/>
              </w:rPr>
            </w:pPr>
            <w:r>
              <w:rPr>
                <w:b/>
                <w:bCs/>
                <w:kern w:val="0"/>
                <w:szCs w:val="21"/>
              </w:rPr>
              <w:t>矿山</w:t>
            </w:r>
            <w:r>
              <w:rPr>
                <w:rFonts w:hint="eastAsia"/>
                <w:b/>
                <w:bCs/>
                <w:kern w:val="0"/>
                <w:szCs w:val="21"/>
              </w:rPr>
              <w:t>名称</w:t>
            </w:r>
            <w:r>
              <w:rPr>
                <w:b/>
                <w:bCs/>
                <w:kern w:val="0"/>
                <w:szCs w:val="21"/>
              </w:rPr>
              <w:tab/>
            </w:r>
          </w:p>
        </w:tc>
        <w:tc>
          <w:tcPr>
            <w:tcW w:w="849" w:type="dxa"/>
            <w:tcBorders>
              <w:left w:val="single" w:color="auto" w:sz="4" w:space="0"/>
            </w:tcBorders>
            <w:shd w:val="clear" w:color="auto" w:fill="FFFFFF"/>
            <w:vAlign w:val="center"/>
          </w:tcPr>
          <w:p>
            <w:pPr>
              <w:spacing w:line="200" w:lineRule="exact"/>
              <w:ind w:left="-101" w:leftChars="-48" w:right="-118" w:rightChars="-56"/>
              <w:jc w:val="center"/>
              <w:rPr>
                <w:b/>
                <w:bCs/>
                <w:kern w:val="0"/>
                <w:szCs w:val="21"/>
              </w:rPr>
            </w:pPr>
            <w:r>
              <w:rPr>
                <w:b/>
                <w:bCs/>
                <w:kern w:val="0"/>
                <w:szCs w:val="21"/>
              </w:rPr>
              <w:t>面积（</w:t>
            </w:r>
            <w:r>
              <w:rPr>
                <w:rFonts w:hint="eastAsia"/>
                <w:b/>
                <w:bCs/>
                <w:kern w:val="0"/>
                <w:szCs w:val="21"/>
              </w:rPr>
              <w:t>h</w:t>
            </w:r>
            <w:r>
              <w:rPr>
                <w:b/>
                <w:bCs/>
                <w:kern w:val="0"/>
                <w:szCs w:val="21"/>
              </w:rPr>
              <w:t>m</w:t>
            </w:r>
            <w:r>
              <w:rPr>
                <w:b/>
                <w:bCs/>
                <w:kern w:val="0"/>
                <w:szCs w:val="21"/>
                <w:vertAlign w:val="superscript"/>
              </w:rPr>
              <w:t>2</w:t>
            </w:r>
            <w:r>
              <w:rPr>
                <w:b/>
                <w:bCs/>
                <w:kern w:val="0"/>
                <w:szCs w:val="21"/>
              </w:rPr>
              <w:t>）</w:t>
            </w:r>
          </w:p>
        </w:tc>
        <w:tc>
          <w:tcPr>
            <w:tcW w:w="861" w:type="dxa"/>
            <w:tcBorders>
              <w:left w:val="single" w:color="auto" w:sz="4" w:space="0"/>
              <w:right w:val="single" w:color="auto" w:sz="4" w:space="0"/>
            </w:tcBorders>
            <w:shd w:val="clear" w:color="auto" w:fill="FFFFFF"/>
            <w:vAlign w:val="center"/>
          </w:tcPr>
          <w:p>
            <w:pPr>
              <w:spacing w:line="200" w:lineRule="exact"/>
              <w:ind w:left="-101" w:leftChars="-48" w:right="-118" w:rightChars="-56"/>
              <w:jc w:val="center"/>
              <w:rPr>
                <w:b/>
                <w:bCs/>
                <w:kern w:val="0"/>
                <w:szCs w:val="21"/>
              </w:rPr>
            </w:pPr>
            <w:r>
              <w:rPr>
                <w:rFonts w:hint="eastAsia"/>
                <w:b/>
                <w:bCs/>
                <w:kern w:val="0"/>
                <w:szCs w:val="21"/>
              </w:rPr>
              <w:t>修复</w:t>
            </w:r>
            <w:r>
              <w:rPr>
                <w:b/>
                <w:bCs/>
                <w:kern w:val="0"/>
                <w:szCs w:val="21"/>
              </w:rPr>
              <w:t>面积（</w:t>
            </w:r>
            <w:r>
              <w:rPr>
                <w:rFonts w:hint="eastAsia"/>
                <w:b/>
                <w:bCs/>
                <w:kern w:val="0"/>
                <w:szCs w:val="21"/>
              </w:rPr>
              <w:t>h</w:t>
            </w:r>
            <w:r>
              <w:rPr>
                <w:b/>
                <w:bCs/>
                <w:kern w:val="0"/>
                <w:szCs w:val="21"/>
              </w:rPr>
              <w:t>m</w:t>
            </w:r>
            <w:r>
              <w:rPr>
                <w:b/>
                <w:bCs/>
                <w:kern w:val="0"/>
                <w:szCs w:val="21"/>
                <w:vertAlign w:val="superscript"/>
              </w:rPr>
              <w:t>2</w:t>
            </w:r>
            <w:r>
              <w:rPr>
                <w:b/>
                <w:bCs/>
                <w:kern w:val="0"/>
                <w:szCs w:val="21"/>
              </w:rPr>
              <w:t>）</w:t>
            </w:r>
          </w:p>
        </w:tc>
        <w:tc>
          <w:tcPr>
            <w:tcW w:w="1031" w:type="dxa"/>
            <w:tcBorders>
              <w:left w:val="single" w:color="auto" w:sz="4" w:space="0"/>
              <w:right w:val="single" w:color="auto" w:sz="4" w:space="0"/>
            </w:tcBorders>
            <w:shd w:val="clear" w:color="auto" w:fill="FFFFFF"/>
            <w:vAlign w:val="center"/>
          </w:tcPr>
          <w:p>
            <w:pPr>
              <w:spacing w:line="200" w:lineRule="exact"/>
              <w:ind w:left="-10" w:leftChars="-5" w:right="-31" w:rightChars="-15"/>
              <w:jc w:val="center"/>
              <w:rPr>
                <w:b/>
                <w:bCs/>
                <w:kern w:val="0"/>
                <w:szCs w:val="21"/>
              </w:rPr>
            </w:pPr>
            <w:r>
              <w:rPr>
                <w:rFonts w:hint="eastAsia"/>
                <w:b/>
                <w:bCs/>
                <w:kern w:val="0"/>
                <w:szCs w:val="21"/>
              </w:rPr>
              <w:t>现状</w:t>
            </w:r>
          </w:p>
        </w:tc>
        <w:tc>
          <w:tcPr>
            <w:tcW w:w="1571" w:type="dxa"/>
            <w:tcBorders>
              <w:left w:val="single" w:color="auto" w:sz="4" w:space="0"/>
            </w:tcBorders>
            <w:shd w:val="clear" w:color="auto" w:fill="FFFFFF"/>
            <w:vAlign w:val="center"/>
          </w:tcPr>
          <w:p>
            <w:pPr>
              <w:spacing w:line="200" w:lineRule="exact"/>
              <w:jc w:val="center"/>
              <w:rPr>
                <w:b/>
                <w:bCs/>
                <w:kern w:val="0"/>
                <w:szCs w:val="21"/>
              </w:rPr>
            </w:pPr>
            <w:r>
              <w:rPr>
                <w:b/>
                <w:bCs/>
                <w:kern w:val="0"/>
                <w:szCs w:val="21"/>
              </w:rPr>
              <w:t>主要</w:t>
            </w:r>
            <w:r>
              <w:rPr>
                <w:rFonts w:hint="eastAsia"/>
                <w:b/>
                <w:bCs/>
                <w:kern w:val="0"/>
                <w:szCs w:val="21"/>
              </w:rPr>
              <w:t>修复</w:t>
            </w:r>
            <w:r>
              <w:rPr>
                <w:b/>
                <w:bCs/>
                <w:kern w:val="0"/>
                <w:szCs w:val="21"/>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7" w:hRule="atLeast"/>
          <w:tblHeader/>
          <w:jc w:val="center"/>
        </w:trPr>
        <w:tc>
          <w:tcPr>
            <w:tcW w:w="787" w:type="dxa"/>
            <w:vMerge w:val="restart"/>
            <w:shd w:val="clear" w:color="auto" w:fill="FFFFFF"/>
            <w:tcMar>
              <w:left w:w="28" w:type="dxa"/>
              <w:right w:w="28" w:type="dxa"/>
            </w:tcMar>
            <w:vAlign w:val="center"/>
          </w:tcPr>
          <w:p>
            <w:pPr>
              <w:spacing w:line="280" w:lineRule="exact"/>
              <w:ind w:left="-10" w:leftChars="-5" w:right="-31" w:rightChars="-15"/>
              <w:jc w:val="center"/>
              <w:rPr>
                <w:kern w:val="0"/>
                <w:szCs w:val="21"/>
              </w:rPr>
            </w:pPr>
            <w:r>
              <w:rPr>
                <w:rFonts w:hint="eastAsia" w:ascii="宋体" w:hAnsi="宋体" w:cs="MingLiU"/>
                <w:b/>
                <w:spacing w:val="10"/>
                <w:kern w:val="0"/>
                <w:szCs w:val="21"/>
              </w:rPr>
              <w:t>2020年</w:t>
            </w:r>
          </w:p>
        </w:tc>
        <w:tc>
          <w:tcPr>
            <w:tcW w:w="635" w:type="dxa"/>
            <w:tcBorders>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sz w:val="20"/>
                <w:szCs w:val="20"/>
              </w:rPr>
              <w:t>1</w:t>
            </w:r>
          </w:p>
        </w:tc>
        <w:tc>
          <w:tcPr>
            <w:tcW w:w="3305" w:type="dxa"/>
            <w:tcBorders>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耒阳市公平镇云山采石场</w:t>
            </w:r>
          </w:p>
        </w:tc>
        <w:tc>
          <w:tcPr>
            <w:tcW w:w="849" w:type="dxa"/>
            <w:tcBorders>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1.13</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1.13</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restart"/>
            <w:tcBorders>
              <w:left w:val="single" w:color="auto" w:sz="4" w:space="0"/>
            </w:tcBorders>
            <w:shd w:val="clear" w:color="auto" w:fill="FFFFFF"/>
            <w:vAlign w:val="center"/>
          </w:tcPr>
          <w:p>
            <w:pPr>
              <w:spacing w:line="280" w:lineRule="exact"/>
              <w:jc w:val="left"/>
              <w:rPr>
                <w:sz w:val="20"/>
                <w:szCs w:val="20"/>
              </w:rPr>
            </w:pPr>
            <w:r>
              <w:rPr>
                <w:rFonts w:hint="eastAsia"/>
                <w:sz w:val="20"/>
                <w:szCs w:val="20"/>
                <w:lang w:val="zh-CN"/>
              </w:rPr>
              <w:t>清危、边坡治理、支挡堆土场治理、截排水、水土资源修复、</w:t>
            </w:r>
            <w:r>
              <w:rPr>
                <w:rFonts w:hint="eastAsia"/>
                <w:sz w:val="20"/>
                <w:szCs w:val="20"/>
              </w:rPr>
              <w:t>复绿</w:t>
            </w:r>
            <w:r>
              <w:rPr>
                <w:rFonts w:hint="eastAsia"/>
                <w:sz w:val="20"/>
                <w:szCs w:val="20"/>
                <w:lang w:val="zh-CN"/>
              </w:rPr>
              <w:t>等工程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sz w:val="20"/>
                <w:szCs w:val="20"/>
              </w:rPr>
              <w:t>2</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耒阳市长坪乡洞中村采石场</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sz w:val="20"/>
                <w:szCs w:val="20"/>
              </w:rPr>
              <w:t>3</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耒阳市磨形乡大泉岭石灰岩矿</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8.7</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8</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4</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耒阳市民旺采石场</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1.11</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5</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郑先进采石场</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2</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0.2</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6</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水东江花桥粤湘页岩建材</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0.74</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0.74</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53"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7</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spacing w:line="200" w:lineRule="exact"/>
              <w:ind w:left="-101" w:leftChars="-48" w:right="-118" w:rightChars="-56"/>
              <w:jc w:val="center"/>
              <w:rPr>
                <w:sz w:val="20"/>
                <w:szCs w:val="20"/>
              </w:rPr>
            </w:pPr>
            <w:r>
              <w:rPr>
                <w:rFonts w:hint="eastAsia"/>
                <w:sz w:val="20"/>
                <w:szCs w:val="20"/>
              </w:rPr>
              <w:t>耒阳市德泰建筑材料</w:t>
            </w:r>
          </w:p>
          <w:p>
            <w:pPr>
              <w:spacing w:line="200" w:lineRule="exact"/>
              <w:ind w:left="-101" w:leftChars="-48" w:right="-118" w:rightChars="-56"/>
              <w:jc w:val="center"/>
              <w:rPr>
                <w:sz w:val="20"/>
                <w:szCs w:val="20"/>
              </w:rPr>
            </w:pPr>
            <w:r>
              <w:rPr>
                <w:rFonts w:hint="eastAsia"/>
                <w:sz w:val="20"/>
                <w:szCs w:val="20"/>
              </w:rPr>
              <w:t>有限公司</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1.55</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1.55</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8</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耒阳市泗门州镇新渡村天剩泥岩矿</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1.7</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1.7</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9</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耒阳市建富建材有限公司</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1.19</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1.1</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10</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耒阳市龙塘尾村采石场</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1.03</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pPr>
            <w:r>
              <w:rPr>
                <w:rFonts w:hint="eastAsia" w:ascii="宋体" w:hAnsi="宋体" w:cs="宋体"/>
                <w:sz w:val="20"/>
                <w:szCs w:val="20"/>
              </w:rPr>
              <w:t>11</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耒阳市青山采石场</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0.92</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0.9</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停产</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rPr>
                <w:rFonts w:ascii="宋体" w:hAnsi="宋体" w:cs="宋体"/>
                <w:sz w:val="20"/>
                <w:szCs w:val="20"/>
              </w:rPr>
            </w:pPr>
            <w:r>
              <w:rPr>
                <w:rFonts w:hint="eastAsia" w:ascii="宋体" w:hAnsi="宋体" w:cs="宋体"/>
                <w:sz w:val="20"/>
                <w:szCs w:val="20"/>
              </w:rPr>
              <w:t>12</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耒阳市东湖圩乡大桥村果花坪采石场</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0.7</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1.5</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处置退出</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rPr>
                <w:rFonts w:ascii="宋体" w:hAnsi="宋体" w:cs="宋体"/>
                <w:sz w:val="20"/>
                <w:szCs w:val="20"/>
              </w:rPr>
            </w:pPr>
            <w:r>
              <w:rPr>
                <w:rFonts w:hint="eastAsia" w:ascii="宋体" w:hAnsi="宋体" w:cs="宋体"/>
                <w:sz w:val="20"/>
                <w:szCs w:val="20"/>
              </w:rPr>
              <w:t>13</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耒阳市长坪乡坳上村采石场</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0.55</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0.8</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处置退出</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rPr>
                <w:rFonts w:ascii="宋体" w:hAnsi="宋体" w:cs="宋体"/>
                <w:sz w:val="20"/>
                <w:szCs w:val="20"/>
              </w:rPr>
            </w:pPr>
            <w:r>
              <w:rPr>
                <w:rFonts w:hint="eastAsia" w:ascii="宋体" w:hAnsi="宋体" w:cs="宋体"/>
                <w:sz w:val="20"/>
                <w:szCs w:val="20"/>
              </w:rPr>
              <w:t>14</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耒阳市新市泰兴隆页岩机砖厂</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0.76</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0.1</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处置退出</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rPr>
                <w:rFonts w:ascii="宋体" w:hAnsi="宋体" w:cs="宋体"/>
                <w:sz w:val="20"/>
                <w:szCs w:val="20"/>
              </w:rPr>
            </w:pPr>
            <w:r>
              <w:rPr>
                <w:rFonts w:hint="eastAsia" w:ascii="宋体" w:hAnsi="宋体" w:cs="宋体"/>
                <w:sz w:val="20"/>
                <w:szCs w:val="20"/>
              </w:rPr>
              <w:t>15</w:t>
            </w:r>
          </w:p>
        </w:tc>
        <w:tc>
          <w:tcPr>
            <w:tcW w:w="3305"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ind w:left="-101" w:leftChars="-48" w:right="-118" w:rightChars="-56"/>
              <w:jc w:val="center"/>
              <w:rPr>
                <w:sz w:val="20"/>
                <w:szCs w:val="20"/>
              </w:rPr>
            </w:pPr>
            <w:r>
              <w:rPr>
                <w:rFonts w:hint="eastAsia"/>
                <w:sz w:val="20"/>
                <w:szCs w:val="20"/>
              </w:rPr>
              <w:t>耒阳市荣盛页岩砖厂</w:t>
            </w:r>
          </w:p>
        </w:tc>
        <w:tc>
          <w:tcPr>
            <w:tcW w:w="849" w:type="dxa"/>
            <w:tcBorders>
              <w:top w:val="single" w:color="auto" w:sz="4" w:space="0"/>
              <w:left w:val="single" w:color="auto" w:sz="4" w:space="0"/>
              <w:bottom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1.37</w:t>
            </w:r>
          </w:p>
        </w:tc>
        <w:tc>
          <w:tcPr>
            <w:tcW w:w="86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0.4</w:t>
            </w:r>
          </w:p>
        </w:tc>
        <w:tc>
          <w:tcPr>
            <w:tcW w:w="1031"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处置退出</w:t>
            </w: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9" w:hRule="atLeast"/>
          <w:tblHeader/>
          <w:jc w:val="center"/>
        </w:trPr>
        <w:tc>
          <w:tcPr>
            <w:tcW w:w="787"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635" w:type="dxa"/>
            <w:tcBorders>
              <w:top w:val="single" w:color="auto" w:sz="4" w:space="0"/>
              <w:right w:val="single" w:color="auto" w:sz="4" w:space="0"/>
            </w:tcBorders>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3305" w:type="dxa"/>
            <w:tcBorders>
              <w:top w:val="single" w:color="auto" w:sz="4" w:space="0"/>
              <w:left w:val="single" w:color="auto" w:sz="4" w:space="0"/>
              <w:right w:val="single" w:color="auto" w:sz="4" w:space="0"/>
            </w:tcBorders>
            <w:shd w:val="clear" w:color="auto" w:fill="FFFFFF"/>
            <w:tcMar>
              <w:left w:w="28" w:type="dxa"/>
              <w:right w:w="28" w:type="dxa"/>
            </w:tcMar>
            <w:vAlign w:val="center"/>
          </w:tcPr>
          <w:p>
            <w:pPr>
              <w:spacing w:line="280" w:lineRule="exact"/>
              <w:ind w:left="-10" w:leftChars="-5" w:right="-31" w:rightChars="-15"/>
              <w:jc w:val="center"/>
              <w:rPr>
                <w:kern w:val="0"/>
                <w:szCs w:val="21"/>
              </w:rPr>
            </w:pPr>
            <w:r>
              <w:rPr>
                <w:rFonts w:hint="eastAsia"/>
                <w:kern w:val="0"/>
                <w:szCs w:val="21"/>
              </w:rPr>
              <w:t>合计</w:t>
            </w:r>
          </w:p>
        </w:tc>
        <w:tc>
          <w:tcPr>
            <w:tcW w:w="849" w:type="dxa"/>
            <w:tcBorders>
              <w:top w:val="single" w:color="auto" w:sz="4" w:space="0"/>
              <w:left w:val="single" w:color="auto" w:sz="4" w:space="0"/>
            </w:tcBorders>
            <w:shd w:val="clear" w:color="auto" w:fill="FFFFFF"/>
            <w:vAlign w:val="center"/>
          </w:tcPr>
          <w:p>
            <w:pPr>
              <w:spacing w:line="280" w:lineRule="exact"/>
              <w:ind w:left="-101" w:leftChars="-48" w:right="-118" w:rightChars="-56"/>
              <w:jc w:val="center"/>
              <w:rPr>
                <w:kern w:val="0"/>
                <w:szCs w:val="21"/>
              </w:rPr>
            </w:pPr>
            <w:r>
              <w:rPr>
                <w:rFonts w:hint="eastAsia"/>
                <w:kern w:val="0"/>
                <w:szCs w:val="21"/>
              </w:rPr>
              <w:t>24.55</w:t>
            </w:r>
          </w:p>
        </w:tc>
        <w:tc>
          <w:tcPr>
            <w:tcW w:w="861" w:type="dxa"/>
            <w:tcBorders>
              <w:left w:val="single" w:color="auto" w:sz="4" w:space="0"/>
              <w:right w:val="single" w:color="auto" w:sz="4" w:space="0"/>
            </w:tcBorders>
            <w:shd w:val="clear" w:color="auto" w:fill="FFFFFF"/>
            <w:vAlign w:val="center"/>
          </w:tcPr>
          <w:p>
            <w:pPr>
              <w:spacing w:line="280" w:lineRule="exact"/>
              <w:ind w:left="-101" w:leftChars="-48" w:right="-118" w:rightChars="-56"/>
              <w:jc w:val="center"/>
              <w:rPr>
                <w:kern w:val="0"/>
                <w:szCs w:val="21"/>
              </w:rPr>
            </w:pPr>
            <w:r>
              <w:rPr>
                <w:rFonts w:hint="eastAsia"/>
                <w:kern w:val="0"/>
                <w:szCs w:val="21"/>
              </w:rPr>
              <w:t>21.14</w:t>
            </w:r>
          </w:p>
        </w:tc>
        <w:tc>
          <w:tcPr>
            <w:tcW w:w="1031" w:type="dxa"/>
            <w:tcBorders>
              <w:left w:val="single" w:color="auto" w:sz="4" w:space="0"/>
              <w:right w:val="single" w:color="auto" w:sz="4" w:space="0"/>
            </w:tcBorders>
            <w:shd w:val="clear" w:color="auto" w:fill="FFFFFF"/>
            <w:vAlign w:val="center"/>
          </w:tcPr>
          <w:p>
            <w:pPr>
              <w:spacing w:line="280" w:lineRule="exact"/>
              <w:ind w:left="-10" w:leftChars="-5" w:right="-31" w:rightChars="-15"/>
              <w:jc w:val="center"/>
              <w:rPr>
                <w:kern w:val="0"/>
                <w:szCs w:val="21"/>
              </w:rPr>
            </w:pPr>
          </w:p>
        </w:tc>
        <w:tc>
          <w:tcPr>
            <w:tcW w:w="1571" w:type="dxa"/>
            <w:vMerge w:val="continue"/>
            <w:tcBorders>
              <w:left w:val="single" w:color="auto" w:sz="4" w:space="0"/>
            </w:tcBorders>
            <w:shd w:val="clear" w:color="auto" w:fill="FFFFFF"/>
            <w:vAlign w:val="center"/>
          </w:tcPr>
          <w:p>
            <w:pPr>
              <w:spacing w:line="280" w:lineRule="exact"/>
              <w:jc w:val="center"/>
              <w:rPr>
                <w:kern w:val="0"/>
                <w:szCs w:val="21"/>
              </w:rPr>
            </w:pPr>
          </w:p>
        </w:tc>
      </w:tr>
    </w:tbl>
    <w:p>
      <w:pPr>
        <w:spacing w:line="360" w:lineRule="auto"/>
        <w:ind w:firstLine="560" w:firstLineChars="200"/>
        <w:rPr>
          <w:rFonts w:asciiTheme="minorEastAsia" w:hAnsiTheme="minorEastAsia" w:eastAsiaTheme="minorEastAsia" w:cstheme="minorEastAsia"/>
          <w:kern w:val="0"/>
          <w:sz w:val="28"/>
          <w:szCs w:val="28"/>
          <w:lang w:val="zh-CN"/>
        </w:rPr>
      </w:pPr>
      <w:r>
        <w:rPr>
          <w:rFonts w:hint="eastAsia" w:asciiTheme="minorEastAsia" w:hAnsiTheme="minorEastAsia" w:eastAsiaTheme="minorEastAsia" w:cstheme="minorEastAsia"/>
          <w:kern w:val="0"/>
          <w:sz w:val="28"/>
          <w:szCs w:val="28"/>
          <w:lang w:val="zh-TW" w:eastAsia="zh-TW"/>
        </w:rPr>
        <w:t>矿山</w:t>
      </w:r>
      <w:r>
        <w:rPr>
          <w:rFonts w:hint="eastAsia" w:ascii="宋体" w:hAnsi="宋体" w:cs="宋体"/>
          <w:sz w:val="28"/>
          <w:szCs w:val="28"/>
        </w:rPr>
        <w:t>生态修复</w:t>
      </w:r>
      <w:r>
        <w:rPr>
          <w:rFonts w:hint="eastAsia" w:asciiTheme="minorEastAsia" w:hAnsiTheme="minorEastAsia" w:eastAsiaTheme="minorEastAsia" w:cstheme="minorEastAsia"/>
          <w:kern w:val="0"/>
          <w:sz w:val="28"/>
          <w:szCs w:val="28"/>
          <w:lang w:val="zh-TW" w:eastAsia="zh-TW"/>
        </w:rPr>
        <w:t>主要包括矿山地质环境问题的预防、矿山地质灾害的防治、损毁土地的复垦和矿区恢复等</w:t>
      </w:r>
      <w:r>
        <w:rPr>
          <w:rFonts w:hint="eastAsia" w:asciiTheme="minorEastAsia" w:hAnsiTheme="minorEastAsia" w:eastAsiaTheme="minorEastAsia" w:cstheme="minorEastAsia"/>
          <w:kern w:val="0"/>
          <w:sz w:val="28"/>
          <w:szCs w:val="28"/>
          <w:lang w:val="zh-TW"/>
        </w:rPr>
        <w:t>，需治理</w:t>
      </w:r>
      <w:r>
        <w:rPr>
          <w:rFonts w:hint="eastAsia" w:ascii="宋体" w:hAnsi="宋体" w:cs="宋体"/>
          <w:sz w:val="28"/>
          <w:szCs w:val="28"/>
        </w:rPr>
        <w:t>修复</w:t>
      </w:r>
      <w:r>
        <w:rPr>
          <w:rFonts w:hint="eastAsia" w:asciiTheme="minorEastAsia" w:hAnsiTheme="minorEastAsia" w:eastAsiaTheme="minorEastAsia" w:cstheme="minorEastAsia"/>
          <w:kern w:val="0"/>
          <w:sz w:val="28"/>
          <w:szCs w:val="28"/>
          <w:lang w:val="zh-TW"/>
        </w:rPr>
        <w:t>面积共</w:t>
      </w:r>
      <w:r>
        <w:rPr>
          <w:rFonts w:hint="eastAsia" w:asciiTheme="minorEastAsia" w:hAnsiTheme="minorEastAsia" w:eastAsiaTheme="minorEastAsia" w:cstheme="minorEastAsia"/>
          <w:kern w:val="0"/>
          <w:sz w:val="28"/>
          <w:szCs w:val="28"/>
        </w:rPr>
        <w:t>21.14hm</w:t>
      </w:r>
      <w:r>
        <w:rPr>
          <w:rFonts w:hint="eastAsia" w:asciiTheme="minorEastAsia" w:hAnsiTheme="minorEastAsia" w:eastAsiaTheme="minorEastAsia" w:cstheme="minorEastAsia"/>
          <w:kern w:val="0"/>
          <w:sz w:val="28"/>
          <w:szCs w:val="28"/>
          <w:vertAlign w:val="superscript"/>
        </w:rPr>
        <w:t>2</w:t>
      </w:r>
      <w:r>
        <w:rPr>
          <w:rFonts w:hint="eastAsia" w:asciiTheme="minorEastAsia" w:hAnsiTheme="minorEastAsia" w:eastAsiaTheme="minorEastAsia" w:cstheme="minorEastAsia"/>
          <w:kern w:val="0"/>
          <w:sz w:val="28"/>
          <w:szCs w:val="28"/>
        </w:rPr>
        <w:t>。</w:t>
      </w:r>
    </w:p>
    <w:p>
      <w:pPr>
        <w:spacing w:line="360" w:lineRule="auto"/>
        <w:ind w:firstLine="560" w:firstLineChars="200"/>
        <w:rPr>
          <w:rFonts w:ascii="宋体" w:hAnsi="宋体" w:cs="宋体"/>
          <w:sz w:val="28"/>
          <w:szCs w:val="28"/>
        </w:rPr>
      </w:pPr>
      <w:r>
        <w:rPr>
          <w:rFonts w:hint="eastAsia" w:asciiTheme="minorEastAsia" w:hAnsiTheme="minorEastAsia" w:eastAsiaTheme="minorEastAsia" w:cstheme="minorEastAsia"/>
          <w:kern w:val="0"/>
          <w:sz w:val="28"/>
          <w:szCs w:val="28"/>
        </w:rPr>
        <w:t>(2)</w:t>
      </w:r>
      <w:r>
        <w:rPr>
          <w:rFonts w:hint="eastAsia" w:ascii="宋体" w:hAnsi="宋体" w:cs="宋体"/>
          <w:sz w:val="28"/>
          <w:szCs w:val="28"/>
        </w:rPr>
        <w:t>2021年限期退出矿山生态修复区</w:t>
      </w:r>
    </w:p>
    <w:p>
      <w:pPr>
        <w:spacing w:line="360" w:lineRule="auto"/>
        <w:ind w:firstLine="560" w:firstLineChars="200"/>
        <w:rPr>
          <w:rFonts w:ascii="宋体" w:hAnsi="宋体" w:cs="宋体"/>
          <w:sz w:val="28"/>
          <w:szCs w:val="28"/>
        </w:rPr>
      </w:pPr>
      <w:r>
        <w:rPr>
          <w:rFonts w:hint="eastAsia" w:ascii="宋体" w:hAnsi="宋体" w:cs="宋体"/>
          <w:sz w:val="28"/>
          <w:szCs w:val="28"/>
        </w:rPr>
        <w:t>2021年矿山限期退出生态修复，包括公平镇、</w:t>
      </w:r>
      <w:r>
        <w:rPr>
          <w:rFonts w:ascii="宋体" w:hAnsi="宋体" w:cs="宋体"/>
          <w:sz w:val="28"/>
          <w:szCs w:val="28"/>
        </w:rPr>
        <w:t>导子镇</w:t>
      </w:r>
      <w:r>
        <w:rPr>
          <w:rFonts w:hint="eastAsia" w:ascii="宋体" w:hAnsi="宋体" w:cs="宋体"/>
          <w:sz w:val="28"/>
          <w:szCs w:val="28"/>
        </w:rPr>
        <w:t>、</w:t>
      </w:r>
      <w:r>
        <w:rPr>
          <w:rFonts w:ascii="宋体" w:hAnsi="宋体" w:cs="宋体"/>
          <w:sz w:val="28"/>
          <w:szCs w:val="28"/>
        </w:rPr>
        <w:t>余庆街道办事处</w:t>
      </w:r>
      <w:r>
        <w:rPr>
          <w:rFonts w:hint="eastAsia" w:ascii="宋体" w:hAnsi="宋体" w:cs="宋体"/>
          <w:sz w:val="28"/>
          <w:szCs w:val="28"/>
        </w:rPr>
        <w:t>等三个乡镇</w:t>
      </w:r>
      <w:r>
        <w:rPr>
          <w:rFonts w:ascii="宋体" w:hAnsi="宋体" w:cs="宋体"/>
          <w:sz w:val="28"/>
          <w:szCs w:val="28"/>
        </w:rPr>
        <w:t>街道办事处</w:t>
      </w:r>
      <w:r>
        <w:rPr>
          <w:rFonts w:hint="eastAsia" w:ascii="宋体" w:hAnsi="宋体" w:cs="宋体"/>
          <w:sz w:val="28"/>
          <w:szCs w:val="28"/>
        </w:rPr>
        <w:t>矿山区域，</w:t>
      </w:r>
      <w:r>
        <w:rPr>
          <w:rFonts w:hint="eastAsia" w:asciiTheme="minorEastAsia" w:hAnsiTheme="minorEastAsia" w:eastAsiaTheme="minorEastAsia" w:cstheme="minorEastAsia"/>
          <w:kern w:val="0"/>
          <w:sz w:val="28"/>
          <w:szCs w:val="28"/>
          <w:lang w:val="zh-TW"/>
        </w:rPr>
        <w:t>需治理</w:t>
      </w:r>
      <w:r>
        <w:rPr>
          <w:rFonts w:hint="eastAsia" w:ascii="宋体" w:hAnsi="宋体" w:cs="宋体"/>
          <w:sz w:val="28"/>
          <w:szCs w:val="28"/>
        </w:rPr>
        <w:t>修复</w:t>
      </w:r>
      <w:r>
        <w:rPr>
          <w:rFonts w:hint="eastAsia" w:asciiTheme="minorEastAsia" w:hAnsiTheme="minorEastAsia" w:eastAsiaTheme="minorEastAsia" w:cstheme="minorEastAsia"/>
          <w:kern w:val="0"/>
          <w:sz w:val="28"/>
          <w:szCs w:val="28"/>
          <w:lang w:val="zh-TW"/>
        </w:rPr>
        <w:t>面积共</w:t>
      </w:r>
      <w:r>
        <w:rPr>
          <w:rFonts w:hint="eastAsia" w:asciiTheme="minorEastAsia" w:hAnsiTheme="minorEastAsia" w:eastAsiaTheme="minorEastAsia" w:cstheme="minorEastAsia"/>
          <w:kern w:val="0"/>
          <w:sz w:val="28"/>
          <w:szCs w:val="28"/>
        </w:rPr>
        <w:t>5.1hm</w:t>
      </w:r>
      <w:r>
        <w:rPr>
          <w:rFonts w:hint="eastAsia" w:asciiTheme="minorEastAsia" w:hAnsiTheme="minorEastAsia" w:eastAsiaTheme="minorEastAsia" w:cstheme="minorEastAsia"/>
          <w:kern w:val="0"/>
          <w:sz w:val="28"/>
          <w:szCs w:val="28"/>
          <w:vertAlign w:val="superscript"/>
        </w:rPr>
        <w:t>2</w:t>
      </w:r>
      <w:r>
        <w:rPr>
          <w:rFonts w:hint="eastAsia" w:ascii="宋体" w:hAnsi="宋体" w:cs="宋体"/>
          <w:sz w:val="28"/>
          <w:szCs w:val="28"/>
        </w:rPr>
        <w:t>，详见专栏十三。</w:t>
      </w:r>
    </w:p>
    <w:p>
      <w:pPr>
        <w:rPr>
          <w:rFonts w:ascii="宋体" w:hAnsi="宋体" w:cs="MingLiU"/>
          <w:b/>
          <w:spacing w:val="10"/>
          <w:kern w:val="0"/>
          <w:szCs w:val="21"/>
          <w:lang w:val="zh-TW"/>
        </w:rPr>
      </w:pPr>
      <w:r>
        <w:rPr>
          <w:rFonts w:hint="eastAsia" w:ascii="宋体" w:hAnsi="宋体" w:cs="MingLiU"/>
          <w:b/>
          <w:spacing w:val="10"/>
          <w:kern w:val="0"/>
          <w:szCs w:val="21"/>
        </w:rPr>
        <w:t>专</w:t>
      </w:r>
      <w:r>
        <w:rPr>
          <w:rFonts w:hint="eastAsia" w:ascii="宋体" w:hAnsi="宋体" w:cs="MingLiU"/>
          <w:b/>
          <w:spacing w:val="10"/>
          <w:kern w:val="0"/>
          <w:szCs w:val="21"/>
          <w:lang w:val="zh-TW"/>
        </w:rPr>
        <w:t>栏</w:t>
      </w:r>
      <w:r>
        <w:rPr>
          <w:rFonts w:hint="eastAsia" w:ascii="宋体" w:hAnsi="宋体" w:cs="MingLiU"/>
          <w:b/>
          <w:spacing w:val="10"/>
          <w:kern w:val="0"/>
          <w:szCs w:val="21"/>
        </w:rPr>
        <w:t>十三                2021年</w:t>
      </w:r>
      <w:r>
        <w:rPr>
          <w:rFonts w:hint="eastAsia" w:ascii="宋体" w:hAnsi="宋体" w:cs="MingLiU"/>
          <w:b/>
          <w:spacing w:val="10"/>
          <w:kern w:val="0"/>
          <w:szCs w:val="21"/>
          <w:lang w:val="zh-TW"/>
        </w:rPr>
        <w:t>限期退出生态修复基本信息表</w:t>
      </w:r>
    </w:p>
    <w:tbl>
      <w:tblPr>
        <w:tblStyle w:val="17"/>
        <w:tblW w:w="9039"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108" w:type="dxa"/>
          <w:bottom w:w="0" w:type="dxa"/>
          <w:right w:w="108" w:type="dxa"/>
        </w:tblCellMar>
      </w:tblPr>
      <w:tblGrid>
        <w:gridCol w:w="825"/>
        <w:gridCol w:w="714"/>
        <w:gridCol w:w="3188"/>
        <w:gridCol w:w="849"/>
        <w:gridCol w:w="933"/>
        <w:gridCol w:w="1061"/>
        <w:gridCol w:w="1469"/>
      </w:tblGrid>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14" w:hRule="atLeast"/>
          <w:tblHeader/>
          <w:jc w:val="center"/>
        </w:trPr>
        <w:tc>
          <w:tcPr>
            <w:tcW w:w="825" w:type="dxa"/>
            <w:shd w:val="clear" w:color="auto" w:fill="FFFFFF"/>
            <w:tcMar>
              <w:left w:w="28" w:type="dxa"/>
              <w:right w:w="28" w:type="dxa"/>
            </w:tcMar>
            <w:vAlign w:val="center"/>
          </w:tcPr>
          <w:p>
            <w:pPr>
              <w:widowControl/>
              <w:spacing w:line="320" w:lineRule="exact"/>
              <w:ind w:left="-10" w:leftChars="-5" w:right="-31" w:rightChars="-15"/>
              <w:jc w:val="center"/>
              <w:rPr>
                <w:b/>
                <w:bCs/>
                <w:kern w:val="0"/>
                <w:szCs w:val="21"/>
              </w:rPr>
            </w:pPr>
            <w:r>
              <w:rPr>
                <w:rFonts w:hint="eastAsia"/>
                <w:b/>
                <w:bCs/>
                <w:kern w:val="0"/>
                <w:szCs w:val="21"/>
              </w:rPr>
              <w:t>分段</w:t>
            </w:r>
          </w:p>
          <w:p>
            <w:pPr>
              <w:widowControl/>
              <w:spacing w:line="320" w:lineRule="exact"/>
              <w:ind w:left="-10" w:leftChars="-5" w:right="-31" w:rightChars="-15"/>
              <w:jc w:val="center"/>
              <w:rPr>
                <w:b/>
                <w:bCs/>
                <w:kern w:val="0"/>
                <w:szCs w:val="21"/>
              </w:rPr>
            </w:pPr>
            <w:r>
              <w:rPr>
                <w:rFonts w:hint="eastAsia"/>
                <w:b/>
                <w:bCs/>
                <w:kern w:val="0"/>
                <w:szCs w:val="21"/>
              </w:rPr>
              <w:t>时间</w:t>
            </w:r>
          </w:p>
        </w:tc>
        <w:tc>
          <w:tcPr>
            <w:tcW w:w="714" w:type="dxa"/>
            <w:tcBorders>
              <w:right w:val="single" w:color="auto" w:sz="4" w:space="0"/>
            </w:tcBorders>
            <w:shd w:val="clear" w:color="auto" w:fill="FFFFFF"/>
            <w:tcMar>
              <w:left w:w="28" w:type="dxa"/>
              <w:right w:w="28" w:type="dxa"/>
            </w:tcMar>
            <w:vAlign w:val="center"/>
          </w:tcPr>
          <w:p>
            <w:pPr>
              <w:widowControl/>
              <w:spacing w:line="320" w:lineRule="exact"/>
              <w:ind w:left="-10" w:leftChars="-5" w:right="-31" w:rightChars="-15"/>
              <w:jc w:val="center"/>
              <w:rPr>
                <w:b/>
                <w:bCs/>
                <w:kern w:val="0"/>
                <w:szCs w:val="21"/>
              </w:rPr>
            </w:pPr>
            <w:r>
              <w:rPr>
                <w:rFonts w:hint="eastAsia"/>
                <w:b/>
                <w:bCs/>
                <w:kern w:val="0"/>
                <w:szCs w:val="21"/>
              </w:rPr>
              <w:t>序号</w:t>
            </w:r>
            <w:r>
              <w:rPr>
                <w:b/>
                <w:bCs/>
                <w:kern w:val="0"/>
                <w:szCs w:val="21"/>
              </w:rPr>
              <w:tab/>
            </w:r>
          </w:p>
        </w:tc>
        <w:tc>
          <w:tcPr>
            <w:tcW w:w="3188" w:type="dxa"/>
            <w:tcBorders>
              <w:left w:val="single" w:color="auto" w:sz="4" w:space="0"/>
              <w:right w:val="single" w:color="auto" w:sz="4" w:space="0"/>
            </w:tcBorders>
            <w:shd w:val="clear" w:color="auto" w:fill="FFFFFF"/>
            <w:tcMar>
              <w:left w:w="28" w:type="dxa"/>
              <w:right w:w="28" w:type="dxa"/>
            </w:tcMar>
            <w:vAlign w:val="center"/>
          </w:tcPr>
          <w:p>
            <w:pPr>
              <w:widowControl/>
              <w:spacing w:line="320" w:lineRule="exact"/>
              <w:ind w:left="-10" w:leftChars="-5" w:right="-31" w:rightChars="-15"/>
              <w:jc w:val="center"/>
              <w:rPr>
                <w:b/>
                <w:bCs/>
                <w:kern w:val="0"/>
                <w:szCs w:val="21"/>
              </w:rPr>
            </w:pPr>
            <w:r>
              <w:rPr>
                <w:b/>
                <w:bCs/>
                <w:kern w:val="0"/>
                <w:szCs w:val="21"/>
              </w:rPr>
              <w:t>矿山</w:t>
            </w:r>
            <w:r>
              <w:rPr>
                <w:rFonts w:hint="eastAsia"/>
                <w:b/>
                <w:bCs/>
                <w:kern w:val="0"/>
                <w:szCs w:val="21"/>
              </w:rPr>
              <w:t>名称</w:t>
            </w:r>
          </w:p>
        </w:tc>
        <w:tc>
          <w:tcPr>
            <w:tcW w:w="849" w:type="dxa"/>
            <w:tcBorders>
              <w:left w:val="single" w:color="auto" w:sz="4" w:space="0"/>
            </w:tcBorders>
            <w:shd w:val="clear" w:color="auto" w:fill="FFFFFF"/>
            <w:vAlign w:val="center"/>
          </w:tcPr>
          <w:p>
            <w:pPr>
              <w:spacing w:line="320" w:lineRule="exact"/>
              <w:ind w:left="-101" w:leftChars="-48" w:right="-118" w:rightChars="-56"/>
              <w:jc w:val="center"/>
              <w:rPr>
                <w:b/>
                <w:bCs/>
                <w:kern w:val="0"/>
                <w:szCs w:val="21"/>
              </w:rPr>
            </w:pPr>
            <w:r>
              <w:rPr>
                <w:b/>
                <w:bCs/>
                <w:kern w:val="0"/>
                <w:szCs w:val="21"/>
              </w:rPr>
              <w:t>面积（</w:t>
            </w:r>
            <w:r>
              <w:rPr>
                <w:rFonts w:hint="eastAsia"/>
                <w:b/>
                <w:bCs/>
                <w:kern w:val="0"/>
                <w:szCs w:val="21"/>
              </w:rPr>
              <w:t>h</w:t>
            </w:r>
            <w:r>
              <w:rPr>
                <w:b/>
                <w:bCs/>
                <w:kern w:val="0"/>
                <w:szCs w:val="21"/>
              </w:rPr>
              <w:t>m</w:t>
            </w:r>
            <w:r>
              <w:rPr>
                <w:b/>
                <w:bCs/>
                <w:kern w:val="0"/>
                <w:szCs w:val="21"/>
                <w:vertAlign w:val="superscript"/>
              </w:rPr>
              <w:t>2</w:t>
            </w:r>
            <w:r>
              <w:rPr>
                <w:b/>
                <w:bCs/>
                <w:kern w:val="0"/>
                <w:szCs w:val="21"/>
              </w:rPr>
              <w:t>）</w:t>
            </w:r>
          </w:p>
        </w:tc>
        <w:tc>
          <w:tcPr>
            <w:tcW w:w="933" w:type="dxa"/>
            <w:tcBorders>
              <w:left w:val="single" w:color="auto" w:sz="4" w:space="0"/>
              <w:right w:val="single" w:color="auto" w:sz="4" w:space="0"/>
            </w:tcBorders>
            <w:shd w:val="clear" w:color="auto" w:fill="FFFFFF"/>
            <w:vAlign w:val="center"/>
          </w:tcPr>
          <w:p>
            <w:pPr>
              <w:spacing w:line="320" w:lineRule="exact"/>
              <w:ind w:left="-101" w:leftChars="-48" w:right="-118" w:rightChars="-56"/>
              <w:jc w:val="center"/>
              <w:rPr>
                <w:b/>
                <w:bCs/>
                <w:kern w:val="0"/>
                <w:szCs w:val="21"/>
              </w:rPr>
            </w:pPr>
            <w:r>
              <w:rPr>
                <w:rFonts w:hint="eastAsia"/>
                <w:b/>
                <w:bCs/>
                <w:kern w:val="0"/>
                <w:szCs w:val="21"/>
              </w:rPr>
              <w:t>修复</w:t>
            </w:r>
            <w:r>
              <w:rPr>
                <w:b/>
                <w:bCs/>
                <w:kern w:val="0"/>
                <w:szCs w:val="21"/>
              </w:rPr>
              <w:t>面积（</w:t>
            </w:r>
            <w:r>
              <w:rPr>
                <w:rFonts w:hint="eastAsia"/>
                <w:b/>
                <w:bCs/>
                <w:kern w:val="0"/>
                <w:szCs w:val="21"/>
              </w:rPr>
              <w:t>h</w:t>
            </w:r>
            <w:r>
              <w:rPr>
                <w:b/>
                <w:bCs/>
                <w:kern w:val="0"/>
                <w:szCs w:val="21"/>
              </w:rPr>
              <w:t>m</w:t>
            </w:r>
            <w:r>
              <w:rPr>
                <w:b/>
                <w:bCs/>
                <w:kern w:val="0"/>
                <w:szCs w:val="21"/>
                <w:vertAlign w:val="superscript"/>
              </w:rPr>
              <w:t>2</w:t>
            </w:r>
            <w:r>
              <w:rPr>
                <w:b/>
                <w:bCs/>
                <w:kern w:val="0"/>
                <w:szCs w:val="21"/>
              </w:rPr>
              <w:t>）</w:t>
            </w:r>
          </w:p>
        </w:tc>
        <w:tc>
          <w:tcPr>
            <w:tcW w:w="1061" w:type="dxa"/>
            <w:tcBorders>
              <w:left w:val="single" w:color="auto" w:sz="4" w:space="0"/>
              <w:right w:val="single" w:color="auto" w:sz="4" w:space="0"/>
            </w:tcBorders>
            <w:shd w:val="clear" w:color="auto" w:fill="FFFFFF"/>
            <w:vAlign w:val="center"/>
          </w:tcPr>
          <w:p>
            <w:pPr>
              <w:spacing w:line="320" w:lineRule="exact"/>
              <w:ind w:left="-10" w:leftChars="-5" w:right="-31" w:rightChars="-15"/>
              <w:jc w:val="center"/>
              <w:rPr>
                <w:b/>
                <w:bCs/>
                <w:kern w:val="0"/>
                <w:szCs w:val="21"/>
              </w:rPr>
            </w:pPr>
            <w:r>
              <w:rPr>
                <w:rFonts w:hint="eastAsia"/>
                <w:b/>
                <w:bCs/>
                <w:kern w:val="0"/>
                <w:szCs w:val="21"/>
              </w:rPr>
              <w:t>现状</w:t>
            </w:r>
          </w:p>
        </w:tc>
        <w:tc>
          <w:tcPr>
            <w:tcW w:w="1469" w:type="dxa"/>
            <w:tcBorders>
              <w:left w:val="single" w:color="auto" w:sz="4" w:space="0"/>
            </w:tcBorders>
            <w:shd w:val="clear" w:color="auto" w:fill="FFFFFF"/>
            <w:vAlign w:val="center"/>
          </w:tcPr>
          <w:p>
            <w:pPr>
              <w:spacing w:line="320" w:lineRule="exact"/>
              <w:jc w:val="center"/>
              <w:rPr>
                <w:b/>
                <w:bCs/>
                <w:kern w:val="0"/>
                <w:szCs w:val="21"/>
              </w:rPr>
            </w:pPr>
            <w:r>
              <w:rPr>
                <w:b/>
                <w:bCs/>
                <w:kern w:val="0"/>
                <w:szCs w:val="21"/>
              </w:rPr>
              <w:t>主要</w:t>
            </w:r>
            <w:r>
              <w:rPr>
                <w:rFonts w:hint="eastAsia"/>
                <w:b/>
                <w:bCs/>
                <w:kern w:val="0"/>
                <w:szCs w:val="21"/>
              </w:rPr>
              <w:t>修复</w:t>
            </w:r>
            <w:r>
              <w:rPr>
                <w:b/>
                <w:bCs/>
                <w:kern w:val="0"/>
                <w:szCs w:val="21"/>
              </w:rPr>
              <w:t>内容</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47" w:hRule="atLeast"/>
          <w:tblHeader/>
          <w:jc w:val="center"/>
        </w:trPr>
        <w:tc>
          <w:tcPr>
            <w:tcW w:w="825" w:type="dxa"/>
            <w:vMerge w:val="restart"/>
            <w:shd w:val="clear" w:color="auto" w:fill="FFFFFF"/>
            <w:tcMar>
              <w:left w:w="28" w:type="dxa"/>
              <w:right w:w="28" w:type="dxa"/>
            </w:tcMar>
            <w:vAlign w:val="center"/>
          </w:tcPr>
          <w:p>
            <w:pPr>
              <w:spacing w:line="280" w:lineRule="exact"/>
              <w:ind w:left="-10" w:leftChars="-5" w:right="-31" w:rightChars="-15"/>
              <w:jc w:val="center"/>
              <w:rPr>
                <w:kern w:val="0"/>
                <w:szCs w:val="21"/>
              </w:rPr>
            </w:pPr>
            <w:r>
              <w:rPr>
                <w:rFonts w:hint="eastAsia" w:ascii="宋体" w:hAnsi="宋体" w:cs="MingLiU"/>
                <w:b/>
                <w:spacing w:val="10"/>
                <w:kern w:val="0"/>
                <w:szCs w:val="21"/>
              </w:rPr>
              <w:t>2021年</w:t>
            </w:r>
          </w:p>
        </w:tc>
        <w:tc>
          <w:tcPr>
            <w:tcW w:w="714" w:type="dxa"/>
            <w:tcBorders>
              <w:bottom w:val="single" w:color="auto" w:sz="4" w:space="0"/>
              <w:right w:val="single" w:color="auto" w:sz="4" w:space="0"/>
            </w:tcBorders>
            <w:shd w:val="clear" w:color="auto" w:fill="FFFFFF"/>
            <w:tcMar>
              <w:left w:w="28" w:type="dxa"/>
              <w:right w:w="28" w:type="dxa"/>
            </w:tcMar>
            <w:vAlign w:val="center"/>
          </w:tcPr>
          <w:p>
            <w:pPr>
              <w:pStyle w:val="15"/>
              <w:widowControl/>
              <w:jc w:val="center"/>
              <w:rPr>
                <w:kern w:val="2"/>
                <w:sz w:val="20"/>
                <w:szCs w:val="20"/>
              </w:rPr>
            </w:pPr>
            <w:r>
              <w:rPr>
                <w:rFonts w:hint="eastAsia"/>
                <w:kern w:val="2"/>
                <w:sz w:val="20"/>
                <w:szCs w:val="20"/>
              </w:rPr>
              <w:t>1</w:t>
            </w:r>
          </w:p>
        </w:tc>
        <w:tc>
          <w:tcPr>
            <w:tcW w:w="3188" w:type="dxa"/>
            <w:tcBorders>
              <w:left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rPr>
                <w:kern w:val="2"/>
                <w:sz w:val="20"/>
                <w:szCs w:val="20"/>
              </w:rPr>
            </w:pPr>
            <w:r>
              <w:rPr>
                <w:rFonts w:hint="eastAsia"/>
                <w:kern w:val="2"/>
                <w:sz w:val="20"/>
                <w:szCs w:val="20"/>
              </w:rPr>
              <w:t>耒阳市昆冈采石场</w:t>
            </w:r>
          </w:p>
        </w:tc>
        <w:tc>
          <w:tcPr>
            <w:tcW w:w="849" w:type="dxa"/>
            <w:tcBorders>
              <w:left w:val="single" w:color="auto" w:sz="4" w:space="0"/>
              <w:bottom w:val="single" w:color="auto" w:sz="4" w:space="0"/>
            </w:tcBorders>
            <w:shd w:val="clear" w:color="auto" w:fill="FFFFFF"/>
            <w:vAlign w:val="center"/>
          </w:tcPr>
          <w:p>
            <w:pPr>
              <w:pStyle w:val="15"/>
              <w:widowControl/>
              <w:jc w:val="center"/>
              <w:rPr>
                <w:kern w:val="2"/>
                <w:sz w:val="20"/>
                <w:szCs w:val="20"/>
              </w:rPr>
            </w:pPr>
            <w:r>
              <w:rPr>
                <w:rFonts w:hint="eastAsia"/>
                <w:kern w:val="2"/>
                <w:sz w:val="20"/>
                <w:szCs w:val="20"/>
              </w:rPr>
              <w:t>2.49</w:t>
            </w:r>
          </w:p>
        </w:tc>
        <w:tc>
          <w:tcPr>
            <w:tcW w:w="933"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1.5</w:t>
            </w:r>
          </w:p>
        </w:tc>
        <w:tc>
          <w:tcPr>
            <w:tcW w:w="1061" w:type="dxa"/>
            <w:tcBorders>
              <w:left w:val="single" w:color="auto" w:sz="4" w:space="0"/>
              <w:right w:val="single" w:color="auto" w:sz="4" w:space="0"/>
            </w:tcBorders>
            <w:shd w:val="clear" w:color="auto" w:fill="FFFFFF"/>
            <w:vAlign w:val="center"/>
          </w:tcPr>
          <w:p>
            <w:pPr>
              <w:ind w:left="-10" w:leftChars="-5" w:right="-31" w:rightChars="-15"/>
              <w:jc w:val="center"/>
              <w:rPr>
                <w:sz w:val="20"/>
                <w:szCs w:val="20"/>
              </w:rPr>
            </w:pPr>
            <w:r>
              <w:rPr>
                <w:rFonts w:hint="eastAsia"/>
                <w:sz w:val="20"/>
                <w:szCs w:val="20"/>
              </w:rPr>
              <w:t>2021年限期退出</w:t>
            </w:r>
          </w:p>
        </w:tc>
        <w:tc>
          <w:tcPr>
            <w:tcW w:w="1469" w:type="dxa"/>
            <w:vMerge w:val="restart"/>
            <w:tcBorders>
              <w:left w:val="single" w:color="auto" w:sz="4" w:space="0"/>
            </w:tcBorders>
            <w:shd w:val="clear" w:color="auto" w:fill="FFFFFF"/>
            <w:vAlign w:val="center"/>
          </w:tcPr>
          <w:p>
            <w:pPr>
              <w:spacing w:line="280" w:lineRule="exact"/>
              <w:ind w:firstLine="400" w:firstLineChars="200"/>
              <w:jc w:val="left"/>
              <w:rPr>
                <w:sz w:val="20"/>
                <w:szCs w:val="20"/>
              </w:rPr>
            </w:pPr>
            <w:r>
              <w:rPr>
                <w:rFonts w:hint="eastAsia"/>
                <w:sz w:val="20"/>
                <w:szCs w:val="20"/>
                <w:lang w:val="zh-CN"/>
              </w:rPr>
              <w:t>清危、边坡治理、支挡堆土场治理、截排水、水土资源修复、</w:t>
            </w:r>
            <w:r>
              <w:rPr>
                <w:rFonts w:hint="eastAsia"/>
                <w:sz w:val="20"/>
                <w:szCs w:val="20"/>
              </w:rPr>
              <w:t>复绿</w:t>
            </w:r>
            <w:r>
              <w:rPr>
                <w:rFonts w:hint="eastAsia"/>
                <w:sz w:val="20"/>
                <w:szCs w:val="20"/>
                <w:lang w:val="zh-CN"/>
              </w:rPr>
              <w:t>等工程</w:t>
            </w: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825"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714"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rPr>
                <w:kern w:val="2"/>
                <w:sz w:val="20"/>
                <w:szCs w:val="20"/>
              </w:rPr>
            </w:pPr>
            <w:r>
              <w:rPr>
                <w:rFonts w:hint="eastAsia"/>
                <w:kern w:val="2"/>
                <w:sz w:val="20"/>
                <w:szCs w:val="20"/>
              </w:rPr>
              <w:t>2</w:t>
            </w:r>
          </w:p>
        </w:tc>
        <w:tc>
          <w:tcPr>
            <w:tcW w:w="3188"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rPr>
                <w:kern w:val="2"/>
                <w:sz w:val="20"/>
                <w:szCs w:val="20"/>
              </w:rPr>
            </w:pPr>
            <w:r>
              <w:rPr>
                <w:kern w:val="2"/>
                <w:sz w:val="20"/>
                <w:szCs w:val="20"/>
              </w:rPr>
              <w:t>耒阳市导子乡农科村采石场</w:t>
            </w:r>
          </w:p>
        </w:tc>
        <w:tc>
          <w:tcPr>
            <w:tcW w:w="849" w:type="dxa"/>
            <w:tcBorders>
              <w:top w:val="single" w:color="auto" w:sz="4" w:space="0"/>
              <w:left w:val="single" w:color="auto" w:sz="4" w:space="0"/>
              <w:bottom w:val="single" w:color="auto" w:sz="4" w:space="0"/>
            </w:tcBorders>
            <w:shd w:val="clear" w:color="auto" w:fill="FFFFFF"/>
            <w:vAlign w:val="center"/>
          </w:tcPr>
          <w:p>
            <w:pPr>
              <w:pStyle w:val="15"/>
              <w:widowControl/>
              <w:jc w:val="center"/>
              <w:rPr>
                <w:kern w:val="2"/>
                <w:sz w:val="20"/>
                <w:szCs w:val="20"/>
              </w:rPr>
            </w:pPr>
            <w:r>
              <w:rPr>
                <w:kern w:val="2"/>
                <w:sz w:val="20"/>
                <w:szCs w:val="20"/>
              </w:rPr>
              <w:t>1</w:t>
            </w:r>
            <w:r>
              <w:rPr>
                <w:rFonts w:hint="eastAsia"/>
                <w:kern w:val="2"/>
                <w:sz w:val="20"/>
                <w:szCs w:val="20"/>
              </w:rPr>
              <w:t>.</w:t>
            </w:r>
            <w:r>
              <w:rPr>
                <w:kern w:val="2"/>
                <w:sz w:val="20"/>
                <w:szCs w:val="20"/>
              </w:rPr>
              <w:t>93</w:t>
            </w:r>
          </w:p>
        </w:tc>
        <w:tc>
          <w:tcPr>
            <w:tcW w:w="933"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1.2</w:t>
            </w:r>
          </w:p>
        </w:tc>
        <w:tc>
          <w:tcPr>
            <w:tcW w:w="1061" w:type="dxa"/>
            <w:tcBorders>
              <w:left w:val="single" w:color="auto" w:sz="4" w:space="0"/>
              <w:right w:val="single" w:color="auto" w:sz="4" w:space="0"/>
            </w:tcBorders>
            <w:shd w:val="clear" w:color="auto" w:fill="FFFFFF"/>
            <w:vAlign w:val="center"/>
          </w:tcPr>
          <w:p>
            <w:pPr>
              <w:ind w:left="-10" w:leftChars="-5" w:right="-31" w:rightChars="-15"/>
              <w:jc w:val="center"/>
              <w:rPr>
                <w:sz w:val="20"/>
                <w:szCs w:val="20"/>
              </w:rPr>
            </w:pPr>
            <w:r>
              <w:rPr>
                <w:rFonts w:hint="eastAsia"/>
                <w:sz w:val="20"/>
                <w:szCs w:val="20"/>
              </w:rPr>
              <w:t>2021年限期退出</w:t>
            </w:r>
          </w:p>
        </w:tc>
        <w:tc>
          <w:tcPr>
            <w:tcW w:w="1469"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262" w:hRule="atLeast"/>
          <w:tblHeader/>
          <w:jc w:val="center"/>
        </w:trPr>
        <w:tc>
          <w:tcPr>
            <w:tcW w:w="825"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714" w:type="dxa"/>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jc w:val="center"/>
              <w:rPr>
                <w:kern w:val="2"/>
                <w:sz w:val="20"/>
                <w:szCs w:val="20"/>
              </w:rPr>
            </w:pPr>
            <w:r>
              <w:rPr>
                <w:rFonts w:hint="eastAsia"/>
                <w:kern w:val="2"/>
                <w:sz w:val="20"/>
                <w:szCs w:val="20"/>
              </w:rPr>
              <w:t>3</w:t>
            </w:r>
          </w:p>
        </w:tc>
        <w:tc>
          <w:tcPr>
            <w:tcW w:w="3188" w:type="dxa"/>
            <w:tcBorders>
              <w:top w:val="single" w:color="auto" w:sz="4" w:space="0"/>
              <w:left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rPr>
                <w:kern w:val="2"/>
                <w:sz w:val="20"/>
                <w:szCs w:val="20"/>
              </w:rPr>
            </w:pPr>
            <w:r>
              <w:rPr>
                <w:kern w:val="2"/>
                <w:sz w:val="20"/>
                <w:szCs w:val="20"/>
              </w:rPr>
              <w:t>耒阳市永程建材有限公司</w:t>
            </w:r>
          </w:p>
        </w:tc>
        <w:tc>
          <w:tcPr>
            <w:tcW w:w="849" w:type="dxa"/>
            <w:tcBorders>
              <w:top w:val="single" w:color="auto" w:sz="4" w:space="0"/>
              <w:left w:val="single" w:color="auto" w:sz="4" w:space="0"/>
              <w:bottom w:val="single" w:color="auto" w:sz="4" w:space="0"/>
            </w:tcBorders>
            <w:shd w:val="clear" w:color="auto" w:fill="FFFFFF"/>
            <w:vAlign w:val="center"/>
          </w:tcPr>
          <w:p>
            <w:pPr>
              <w:pStyle w:val="15"/>
              <w:widowControl/>
              <w:jc w:val="center"/>
              <w:rPr>
                <w:kern w:val="2"/>
                <w:sz w:val="20"/>
                <w:szCs w:val="20"/>
              </w:rPr>
            </w:pPr>
            <w:r>
              <w:rPr>
                <w:kern w:val="2"/>
                <w:sz w:val="20"/>
                <w:szCs w:val="20"/>
              </w:rPr>
              <w:t>4</w:t>
            </w:r>
            <w:r>
              <w:rPr>
                <w:rFonts w:hint="eastAsia"/>
                <w:kern w:val="2"/>
                <w:sz w:val="20"/>
                <w:szCs w:val="20"/>
              </w:rPr>
              <w:t>.</w:t>
            </w:r>
            <w:r>
              <w:rPr>
                <w:kern w:val="2"/>
                <w:sz w:val="20"/>
                <w:szCs w:val="20"/>
              </w:rPr>
              <w:t>15</w:t>
            </w:r>
          </w:p>
        </w:tc>
        <w:tc>
          <w:tcPr>
            <w:tcW w:w="933" w:type="dxa"/>
            <w:tcBorders>
              <w:left w:val="single" w:color="auto" w:sz="4" w:space="0"/>
              <w:right w:val="single" w:color="auto" w:sz="4" w:space="0"/>
            </w:tcBorders>
            <w:shd w:val="clear" w:color="auto" w:fill="FFFFFF"/>
            <w:vAlign w:val="center"/>
          </w:tcPr>
          <w:p>
            <w:pPr>
              <w:ind w:left="-101" w:leftChars="-48" w:right="-118" w:rightChars="-56"/>
              <w:jc w:val="center"/>
              <w:rPr>
                <w:sz w:val="20"/>
                <w:szCs w:val="20"/>
              </w:rPr>
            </w:pPr>
            <w:r>
              <w:rPr>
                <w:rFonts w:hint="eastAsia"/>
                <w:sz w:val="20"/>
                <w:szCs w:val="20"/>
              </w:rPr>
              <w:t>2.4</w:t>
            </w:r>
          </w:p>
        </w:tc>
        <w:tc>
          <w:tcPr>
            <w:tcW w:w="1061" w:type="dxa"/>
            <w:tcBorders>
              <w:left w:val="single" w:color="auto" w:sz="4" w:space="0"/>
              <w:right w:val="single" w:color="auto" w:sz="4" w:space="0"/>
            </w:tcBorders>
            <w:shd w:val="clear" w:color="auto" w:fill="FFFFFF"/>
            <w:vAlign w:val="center"/>
          </w:tcPr>
          <w:p>
            <w:pPr>
              <w:ind w:left="-10" w:leftChars="-5" w:right="-31" w:rightChars="-15"/>
              <w:jc w:val="center"/>
              <w:rPr>
                <w:sz w:val="20"/>
                <w:szCs w:val="20"/>
              </w:rPr>
            </w:pPr>
            <w:r>
              <w:rPr>
                <w:rFonts w:hint="eastAsia"/>
                <w:sz w:val="20"/>
                <w:szCs w:val="20"/>
              </w:rPr>
              <w:t>2021年限期退出</w:t>
            </w:r>
          </w:p>
        </w:tc>
        <w:tc>
          <w:tcPr>
            <w:tcW w:w="1469" w:type="dxa"/>
            <w:vMerge w:val="continue"/>
            <w:tcBorders>
              <w:left w:val="single" w:color="auto" w:sz="4" w:space="0"/>
            </w:tcBorders>
            <w:shd w:val="clear" w:color="auto" w:fill="FFFFFF"/>
            <w:vAlign w:val="center"/>
          </w:tcPr>
          <w:p>
            <w:pPr>
              <w:spacing w:line="280" w:lineRule="exact"/>
              <w:jc w:val="center"/>
              <w:rPr>
                <w:kern w:val="0"/>
                <w:szCs w:val="21"/>
              </w:rPr>
            </w:pPr>
          </w:p>
        </w:tc>
      </w:tr>
      <w:tr>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108" w:type="dxa"/>
            <w:bottom w:w="0" w:type="dxa"/>
            <w:right w:w="108" w:type="dxa"/>
          </w:tblCellMar>
        </w:tblPrEx>
        <w:trPr>
          <w:trHeight w:val="409" w:hRule="atLeast"/>
          <w:tblHeader/>
          <w:jc w:val="center"/>
        </w:trPr>
        <w:tc>
          <w:tcPr>
            <w:tcW w:w="825" w:type="dxa"/>
            <w:vMerge w:val="continue"/>
            <w:shd w:val="clear" w:color="auto" w:fill="FFFFFF"/>
            <w:tcMar>
              <w:left w:w="28" w:type="dxa"/>
              <w:right w:w="28" w:type="dxa"/>
            </w:tcMar>
            <w:vAlign w:val="center"/>
          </w:tcPr>
          <w:p>
            <w:pPr>
              <w:spacing w:line="280" w:lineRule="exact"/>
              <w:ind w:left="-10" w:leftChars="-5" w:right="-31" w:rightChars="-15"/>
              <w:jc w:val="center"/>
              <w:rPr>
                <w:kern w:val="0"/>
                <w:szCs w:val="21"/>
              </w:rPr>
            </w:pPr>
          </w:p>
        </w:tc>
        <w:tc>
          <w:tcPr>
            <w:tcW w:w="3902" w:type="dxa"/>
            <w:gridSpan w:val="2"/>
            <w:tcBorders>
              <w:top w:val="single" w:color="auto" w:sz="4" w:space="0"/>
              <w:bottom w:val="single" w:color="auto" w:sz="4" w:space="0"/>
              <w:right w:val="single" w:color="auto" w:sz="4" w:space="0"/>
            </w:tcBorders>
            <w:shd w:val="clear" w:color="auto" w:fill="FFFFFF"/>
            <w:tcMar>
              <w:left w:w="28" w:type="dxa"/>
              <w:right w:w="28" w:type="dxa"/>
            </w:tcMar>
            <w:vAlign w:val="center"/>
          </w:tcPr>
          <w:p>
            <w:pPr>
              <w:pStyle w:val="15"/>
              <w:widowControl/>
              <w:rPr>
                <w:kern w:val="2"/>
                <w:sz w:val="20"/>
                <w:szCs w:val="20"/>
              </w:rPr>
            </w:pPr>
            <w:r>
              <w:rPr>
                <w:rFonts w:hint="eastAsia"/>
                <w:kern w:val="2"/>
                <w:sz w:val="20"/>
                <w:szCs w:val="20"/>
              </w:rPr>
              <w:t>合计</w:t>
            </w:r>
          </w:p>
        </w:tc>
        <w:tc>
          <w:tcPr>
            <w:tcW w:w="849" w:type="dxa"/>
            <w:tcBorders>
              <w:top w:val="single" w:color="auto" w:sz="4" w:space="0"/>
              <w:left w:val="single" w:color="auto" w:sz="4" w:space="0"/>
              <w:bottom w:val="single" w:color="auto" w:sz="4" w:space="0"/>
            </w:tcBorders>
            <w:shd w:val="clear" w:color="auto" w:fill="FFFFFF"/>
            <w:vAlign w:val="bottom"/>
          </w:tcPr>
          <w:p>
            <w:pPr>
              <w:pStyle w:val="15"/>
              <w:widowControl/>
              <w:jc w:val="center"/>
              <w:rPr>
                <w:kern w:val="2"/>
                <w:sz w:val="20"/>
                <w:szCs w:val="20"/>
              </w:rPr>
            </w:pPr>
            <w:r>
              <w:rPr>
                <w:rFonts w:hint="eastAsia"/>
                <w:kern w:val="2"/>
                <w:sz w:val="20"/>
                <w:szCs w:val="20"/>
              </w:rPr>
              <w:t>8.57</w:t>
            </w:r>
          </w:p>
        </w:tc>
        <w:tc>
          <w:tcPr>
            <w:tcW w:w="933" w:type="dxa"/>
            <w:tcBorders>
              <w:left w:val="single" w:color="auto" w:sz="4" w:space="0"/>
              <w:right w:val="single" w:color="auto" w:sz="4" w:space="0"/>
            </w:tcBorders>
            <w:shd w:val="clear" w:color="auto" w:fill="FFFFFF"/>
            <w:vAlign w:val="bottom"/>
          </w:tcPr>
          <w:p>
            <w:pPr>
              <w:pStyle w:val="15"/>
              <w:widowControl/>
              <w:jc w:val="center"/>
              <w:rPr>
                <w:kern w:val="2"/>
                <w:sz w:val="20"/>
                <w:szCs w:val="20"/>
              </w:rPr>
            </w:pPr>
            <w:r>
              <w:rPr>
                <w:rFonts w:hint="eastAsia"/>
                <w:kern w:val="2"/>
                <w:sz w:val="20"/>
                <w:szCs w:val="20"/>
              </w:rPr>
              <w:t>5.1</w:t>
            </w:r>
          </w:p>
        </w:tc>
        <w:tc>
          <w:tcPr>
            <w:tcW w:w="1061" w:type="dxa"/>
            <w:tcBorders>
              <w:left w:val="single" w:color="auto" w:sz="4" w:space="0"/>
              <w:right w:val="single" w:color="auto" w:sz="4" w:space="0"/>
            </w:tcBorders>
            <w:shd w:val="clear" w:color="auto" w:fill="FFFFFF"/>
            <w:vAlign w:val="center"/>
          </w:tcPr>
          <w:p>
            <w:pPr>
              <w:spacing w:line="280" w:lineRule="exact"/>
              <w:ind w:left="-10" w:leftChars="-5" w:right="-31" w:rightChars="-15"/>
              <w:jc w:val="center"/>
              <w:rPr>
                <w:kern w:val="0"/>
                <w:szCs w:val="21"/>
              </w:rPr>
            </w:pPr>
          </w:p>
        </w:tc>
        <w:tc>
          <w:tcPr>
            <w:tcW w:w="1469" w:type="dxa"/>
            <w:vMerge w:val="continue"/>
            <w:tcBorders>
              <w:left w:val="single" w:color="auto" w:sz="4" w:space="0"/>
            </w:tcBorders>
            <w:shd w:val="clear" w:color="auto" w:fill="FFFFFF"/>
            <w:vAlign w:val="center"/>
          </w:tcPr>
          <w:p>
            <w:pPr>
              <w:spacing w:line="280" w:lineRule="exact"/>
              <w:jc w:val="center"/>
              <w:rPr>
                <w:kern w:val="0"/>
                <w:szCs w:val="21"/>
              </w:rPr>
            </w:pPr>
          </w:p>
        </w:tc>
      </w:tr>
    </w:tbl>
    <w:p>
      <w:pPr>
        <w:spacing w:line="360" w:lineRule="auto"/>
        <w:ind w:firstLine="562" w:firstLineChars="200"/>
        <w:rPr>
          <w:b/>
          <w:bCs/>
          <w:sz w:val="28"/>
          <w:szCs w:val="28"/>
          <w:lang w:val="zh-CN"/>
        </w:rPr>
      </w:pPr>
      <w:bookmarkStart w:id="36" w:name="_Toc25175"/>
      <w:bookmarkStart w:id="37" w:name="_Toc23459501"/>
      <w:bookmarkStart w:id="38" w:name="_Toc538"/>
      <w:bookmarkStart w:id="39" w:name="_Toc20001_WPSOffice_Level2"/>
      <w:bookmarkStart w:id="40" w:name="_Toc25134"/>
      <w:bookmarkStart w:id="41" w:name="_Toc8727"/>
      <w:bookmarkStart w:id="42" w:name="_Toc21558"/>
      <w:bookmarkStart w:id="43" w:name="_Toc1728"/>
      <w:bookmarkStart w:id="44" w:name="_Toc23459495"/>
      <w:bookmarkStart w:id="45" w:name="_Toc2267_WPSOffice_Level2"/>
      <w:r>
        <w:rPr>
          <w:rFonts w:hint="eastAsia"/>
          <w:b/>
          <w:bCs/>
          <w:sz w:val="28"/>
          <w:szCs w:val="28"/>
        </w:rPr>
        <w:t>2、</w:t>
      </w:r>
      <w:bookmarkEnd w:id="36"/>
      <w:bookmarkEnd w:id="37"/>
      <w:bookmarkEnd w:id="38"/>
      <w:bookmarkEnd w:id="39"/>
      <w:bookmarkEnd w:id="40"/>
      <w:r>
        <w:rPr>
          <w:rFonts w:hint="eastAsia"/>
          <w:b/>
          <w:bCs/>
          <w:sz w:val="28"/>
          <w:szCs w:val="28"/>
          <w:lang w:val="zh-CN"/>
        </w:rPr>
        <w:t>关于砂石土矿矿山环境治理管理制度</w:t>
      </w:r>
    </w:p>
    <w:p>
      <w:pPr>
        <w:spacing w:line="360" w:lineRule="auto"/>
        <w:ind w:firstLine="560" w:firstLineChars="200"/>
        <w:rPr>
          <w:rFonts w:ascii="宋体" w:hAnsi="宋体"/>
          <w:sz w:val="28"/>
          <w:szCs w:val="28"/>
          <w:lang w:val="zh-CN"/>
        </w:rPr>
      </w:pPr>
      <w:r>
        <w:rPr>
          <w:rFonts w:hint="eastAsia"/>
          <w:sz w:val="28"/>
          <w:szCs w:val="28"/>
          <w:lang w:val="zh-CN"/>
        </w:rPr>
        <w:t>建议</w:t>
      </w:r>
      <w:r>
        <w:rPr>
          <w:sz w:val="28"/>
          <w:szCs w:val="28"/>
          <w:lang w:val="zh-CN"/>
        </w:rPr>
        <w:t>根据矿山地质环境问题的分布和变化特征，建立</w:t>
      </w:r>
      <w:r>
        <w:rPr>
          <w:rFonts w:hint="eastAsia"/>
          <w:sz w:val="28"/>
          <w:szCs w:val="28"/>
          <w:lang w:val="zh-CN"/>
        </w:rPr>
        <w:t>全市</w:t>
      </w:r>
      <w:r>
        <w:rPr>
          <w:sz w:val="28"/>
          <w:szCs w:val="28"/>
          <w:lang w:val="zh-CN"/>
        </w:rPr>
        <w:t>矿山地质环境动态监测网和监测站点；开展单个矿山的地质环境监测和区域集中开采区或群采点矿山地质环境监测；依托</w:t>
      </w:r>
      <w:r>
        <w:rPr>
          <w:rFonts w:hint="eastAsia"/>
          <w:sz w:val="28"/>
          <w:szCs w:val="28"/>
          <w:lang w:val="zh-CN"/>
        </w:rPr>
        <w:t>全市</w:t>
      </w:r>
      <w:r>
        <w:rPr>
          <w:sz w:val="28"/>
          <w:szCs w:val="28"/>
          <w:lang w:val="zh-CN"/>
        </w:rPr>
        <w:t>矿山地质环境监测信息系统，建立矿山地质环境监</w:t>
      </w:r>
      <w:r>
        <w:rPr>
          <w:rFonts w:ascii="宋体" w:hAnsi="宋体"/>
          <w:sz w:val="28"/>
          <w:szCs w:val="28"/>
          <w:lang w:val="zh-CN"/>
        </w:rPr>
        <w:t>测数据库。推进矿山地质环境监测工作，坚持示范先行、逐步推进的原则，依托示范区的矿山地质环境监测技术方法和标准规范，逐步建立矿山地质环境监测预警工作体系。</w:t>
      </w:r>
    </w:p>
    <w:bookmarkEnd w:id="30"/>
    <w:bookmarkEnd w:id="41"/>
    <w:bookmarkEnd w:id="42"/>
    <w:bookmarkEnd w:id="43"/>
    <w:bookmarkEnd w:id="44"/>
    <w:bookmarkEnd w:id="45"/>
    <w:p>
      <w:pPr>
        <w:pStyle w:val="5"/>
        <w:jc w:val="center"/>
        <w:rPr>
          <w:rFonts w:hint="default" w:ascii="黑体" w:hAnsi="黑体" w:eastAsia="黑体" w:cs="黑体"/>
          <w:b w:val="0"/>
          <w:bCs/>
          <w:sz w:val="36"/>
          <w:szCs w:val="36"/>
        </w:rPr>
      </w:pPr>
    </w:p>
    <w:p/>
    <w:p>
      <w:pPr>
        <w:pStyle w:val="5"/>
        <w:jc w:val="center"/>
        <w:rPr>
          <w:rFonts w:hint="default" w:ascii="黑体" w:hAnsi="黑体" w:eastAsia="黑体" w:cs="黑体"/>
          <w:b w:val="0"/>
          <w:bCs/>
          <w:sz w:val="36"/>
          <w:szCs w:val="36"/>
        </w:rPr>
      </w:pPr>
    </w:p>
    <w:p>
      <w:pPr>
        <w:rPr>
          <w:rFonts w:ascii="黑体" w:hAnsi="黑体" w:eastAsia="黑体" w:cs="黑体"/>
          <w:bCs/>
          <w:sz w:val="36"/>
          <w:szCs w:val="36"/>
        </w:rPr>
      </w:pPr>
    </w:p>
    <w:p>
      <w:pPr>
        <w:rPr>
          <w:rFonts w:ascii="黑体" w:hAnsi="黑体" w:eastAsia="黑体" w:cs="黑体"/>
          <w:bCs/>
          <w:sz w:val="36"/>
          <w:szCs w:val="36"/>
        </w:rPr>
      </w:pPr>
    </w:p>
    <w:p>
      <w:pPr>
        <w:rPr>
          <w:rFonts w:ascii="黑体" w:hAnsi="黑体" w:eastAsia="黑体" w:cs="黑体"/>
          <w:bCs/>
          <w:sz w:val="36"/>
          <w:szCs w:val="36"/>
        </w:rPr>
      </w:pPr>
    </w:p>
    <w:p>
      <w:pPr>
        <w:rPr>
          <w:rFonts w:ascii="黑体" w:hAnsi="黑体" w:eastAsia="黑体" w:cs="黑体"/>
          <w:bCs/>
          <w:sz w:val="36"/>
          <w:szCs w:val="36"/>
        </w:rPr>
      </w:pPr>
    </w:p>
    <w:p>
      <w:pPr>
        <w:rPr>
          <w:rFonts w:ascii="黑体" w:hAnsi="黑体" w:eastAsia="黑体" w:cs="黑体"/>
          <w:bCs/>
          <w:sz w:val="36"/>
          <w:szCs w:val="36"/>
        </w:rPr>
      </w:pPr>
    </w:p>
    <w:p>
      <w:pPr>
        <w:pStyle w:val="2"/>
        <w:ind w:firstLine="360"/>
        <w:rPr>
          <w:rFonts w:ascii="黑体" w:hAnsi="黑体" w:eastAsia="黑体" w:cs="黑体"/>
          <w:sz w:val="36"/>
          <w:szCs w:val="36"/>
        </w:rPr>
      </w:pPr>
    </w:p>
    <w:p>
      <w:pPr>
        <w:pStyle w:val="2"/>
        <w:ind w:firstLine="360"/>
        <w:rPr>
          <w:rFonts w:ascii="黑体" w:hAnsi="黑体" w:eastAsia="黑体" w:cs="黑体"/>
          <w:sz w:val="36"/>
          <w:szCs w:val="36"/>
        </w:rPr>
      </w:pPr>
    </w:p>
    <w:p>
      <w:pPr>
        <w:pStyle w:val="2"/>
        <w:ind w:firstLine="360"/>
        <w:rPr>
          <w:rFonts w:ascii="黑体" w:hAnsi="黑体" w:eastAsia="黑体" w:cs="黑体"/>
          <w:sz w:val="36"/>
          <w:szCs w:val="36"/>
        </w:rPr>
      </w:pPr>
    </w:p>
    <w:p>
      <w:pPr>
        <w:pStyle w:val="2"/>
        <w:ind w:firstLine="360"/>
        <w:rPr>
          <w:rFonts w:ascii="黑体" w:hAnsi="黑体" w:eastAsia="黑体" w:cs="黑体"/>
          <w:sz w:val="36"/>
          <w:szCs w:val="36"/>
        </w:rPr>
      </w:pPr>
    </w:p>
    <w:p>
      <w:pPr>
        <w:pStyle w:val="2"/>
        <w:ind w:firstLine="360"/>
        <w:rPr>
          <w:rFonts w:ascii="黑体" w:hAnsi="黑体" w:eastAsia="黑体" w:cs="黑体"/>
          <w:sz w:val="36"/>
          <w:szCs w:val="36"/>
        </w:rPr>
      </w:pPr>
    </w:p>
    <w:p>
      <w:pPr>
        <w:pStyle w:val="5"/>
        <w:jc w:val="center"/>
        <w:rPr>
          <w:rFonts w:hint="default" w:ascii="黑体" w:hAnsi="黑体" w:eastAsia="黑体" w:cs="黑体"/>
          <w:b w:val="0"/>
          <w:bCs/>
          <w:sz w:val="36"/>
          <w:szCs w:val="36"/>
        </w:rPr>
      </w:pPr>
      <w:bookmarkStart w:id="46" w:name="_Toc4258"/>
      <w:r>
        <w:rPr>
          <w:rFonts w:ascii="黑体" w:hAnsi="黑体" w:eastAsia="黑体" w:cs="黑体"/>
          <w:b w:val="0"/>
          <w:bCs/>
          <w:sz w:val="36"/>
          <w:szCs w:val="36"/>
        </w:rPr>
        <w:t>五、矿业转型升级与绿色发展</w:t>
      </w:r>
      <w:bookmarkEnd w:id="46"/>
    </w:p>
    <w:p>
      <w:pPr>
        <w:pStyle w:val="5"/>
        <w:ind w:firstLine="562" w:firstLineChars="200"/>
        <w:rPr>
          <w:rFonts w:hint="default"/>
          <w:sz w:val="28"/>
          <w:szCs w:val="28"/>
        </w:rPr>
      </w:pPr>
      <w:bookmarkStart w:id="47" w:name="_Toc4343"/>
      <w:r>
        <w:rPr>
          <w:sz w:val="28"/>
          <w:szCs w:val="28"/>
        </w:rPr>
        <w:t>(一)产业结构调整</w:t>
      </w:r>
      <w:bookmarkEnd w:id="47"/>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耒阳作为资源枯竭型城市，要加大转型力度，逐步摆脱对煤炭的高度依赖，快速发展 “接续产业”。</w:t>
      </w:r>
    </w:p>
    <w:p>
      <w:pPr>
        <w:ind w:firstLine="560"/>
        <w:rPr>
          <w:rFonts w:cs="宋体"/>
          <w:kern w:val="0"/>
          <w:sz w:val="28"/>
          <w:szCs w:val="28"/>
        </w:rPr>
      </w:pPr>
      <w:r>
        <w:rPr>
          <w:rFonts w:hint="eastAsia"/>
          <w:sz w:val="28"/>
          <w:szCs w:val="28"/>
        </w:rPr>
        <w:t>加强砂石土矿产业结构调整力度，不断提高砂石土矿资源利用率，逐步淘汰规模小、资源利用率低、环境影响大的落后产能；积极</w:t>
      </w:r>
      <w:r>
        <w:rPr>
          <w:rFonts w:hint="eastAsia" w:cs="宋体"/>
          <w:kern w:val="0"/>
          <w:sz w:val="28"/>
          <w:szCs w:val="28"/>
        </w:rPr>
        <w:t>引导大型矿业集团进入砂石产业，逐步形成砂石产业规模化、集约化发展格局，提高大中型矿山比例达42%，至2025年，建立中型以上矿山10个</w:t>
      </w:r>
      <w:r>
        <w:rPr>
          <w:rFonts w:hint="eastAsia"/>
          <w:sz w:val="28"/>
          <w:szCs w:val="28"/>
        </w:rPr>
        <w:t>，提高资源利用效率</w:t>
      </w:r>
      <w:r>
        <w:rPr>
          <w:kern w:val="0"/>
          <w:sz w:val="28"/>
          <w:szCs w:val="28"/>
        </w:rPr>
        <w:t>。</w:t>
      </w:r>
    </w:p>
    <w:p>
      <w:pPr>
        <w:ind w:firstLine="560"/>
        <w:rPr>
          <w:sz w:val="28"/>
          <w:szCs w:val="28"/>
        </w:rPr>
      </w:pPr>
      <w:r>
        <w:rPr>
          <w:rFonts w:hint="eastAsia"/>
          <w:sz w:val="28"/>
          <w:szCs w:val="28"/>
        </w:rPr>
        <w:t>实现安全生产达标，全面推进矿山安全标准化建设，全县矿山“边采边治”严格按台阶式分层开采，力争矿山安全生产达标率100%；不断提高矿山机械化作业程度，逐步减少矿山现场作业人员，力争全县矿山开采机械化程度达到80%以上。</w:t>
      </w:r>
    </w:p>
    <w:p>
      <w:pPr>
        <w:ind w:firstLine="560"/>
        <w:rPr>
          <w:kern w:val="0"/>
          <w:sz w:val="28"/>
          <w:szCs w:val="28"/>
        </w:rPr>
      </w:pPr>
      <w:r>
        <w:rPr>
          <w:rFonts w:hint="eastAsia"/>
          <w:kern w:val="0"/>
          <w:sz w:val="28"/>
          <w:szCs w:val="28"/>
        </w:rPr>
        <w:t>矿山企业要有</w:t>
      </w:r>
      <w:r>
        <w:rPr>
          <w:kern w:val="0"/>
          <w:sz w:val="28"/>
          <w:szCs w:val="28"/>
        </w:rPr>
        <w:t>质量</w:t>
      </w:r>
      <w:r>
        <w:rPr>
          <w:rFonts w:hint="eastAsia"/>
          <w:kern w:val="0"/>
          <w:sz w:val="28"/>
          <w:szCs w:val="28"/>
        </w:rPr>
        <w:t>主体责任意识</w:t>
      </w:r>
      <w:r>
        <w:rPr>
          <w:kern w:val="0"/>
          <w:sz w:val="28"/>
          <w:szCs w:val="28"/>
        </w:rPr>
        <w:t>，</w:t>
      </w:r>
      <w:r>
        <w:rPr>
          <w:rFonts w:hint="eastAsia"/>
          <w:kern w:val="0"/>
          <w:sz w:val="28"/>
          <w:szCs w:val="28"/>
        </w:rPr>
        <w:t>生产的砂石</w:t>
      </w:r>
      <w:r>
        <w:rPr>
          <w:kern w:val="0"/>
          <w:sz w:val="28"/>
          <w:szCs w:val="28"/>
        </w:rPr>
        <w:t>骨料、墙体材料产品质量</w:t>
      </w:r>
      <w:r>
        <w:rPr>
          <w:rFonts w:hint="eastAsia"/>
          <w:kern w:val="0"/>
          <w:sz w:val="28"/>
          <w:szCs w:val="28"/>
        </w:rPr>
        <w:t>要</w:t>
      </w:r>
      <w:r>
        <w:rPr>
          <w:kern w:val="0"/>
          <w:sz w:val="28"/>
          <w:szCs w:val="28"/>
        </w:rPr>
        <w:t>符合</w:t>
      </w:r>
      <w:r>
        <w:rPr>
          <w:rFonts w:hint="eastAsia"/>
          <w:sz w:val="28"/>
          <w:szCs w:val="28"/>
        </w:rPr>
        <w:t>建筑用卵石碎石、建筑用砂、机制砖加工生产等</w:t>
      </w:r>
      <w:r>
        <w:rPr>
          <w:kern w:val="0"/>
          <w:sz w:val="28"/>
          <w:szCs w:val="28"/>
        </w:rPr>
        <w:t>相关的技术规范和标准。</w:t>
      </w:r>
    </w:p>
    <w:p>
      <w:pPr>
        <w:pStyle w:val="5"/>
        <w:ind w:firstLine="562" w:firstLineChars="200"/>
        <w:rPr>
          <w:rFonts w:hint="default"/>
          <w:sz w:val="28"/>
          <w:szCs w:val="28"/>
        </w:rPr>
      </w:pPr>
      <w:bookmarkStart w:id="48" w:name="_Toc4265"/>
      <w:r>
        <w:rPr>
          <w:sz w:val="28"/>
          <w:szCs w:val="28"/>
        </w:rPr>
        <w:t>(二)绿色矿山建设</w:t>
      </w:r>
      <w:bookmarkEnd w:id="48"/>
    </w:p>
    <w:p>
      <w:pPr>
        <w:spacing w:line="520" w:lineRule="exact"/>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1、建设目标及主要任务</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（1）、目标</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到2021年底，全面推进绿色矿山建设，全市绿色矿山达标率80%以上，其中新建矿山达标率100%。全市大中型矿山基本建成</w:t>
      </w:r>
      <w:r>
        <w:rPr>
          <w:rFonts w:hint="eastAsia" w:asciiTheme="minorEastAsia" w:hAnsiTheme="minorEastAsia" w:eastAsiaTheme="minorEastAsia" w:cstheme="minorEastAsia"/>
          <w:color w:val="FF0000"/>
          <w:sz w:val="28"/>
          <w:szCs w:val="28"/>
        </w:rPr>
        <w:t>省级绿色矿山</w:t>
      </w:r>
      <w:r>
        <w:rPr>
          <w:rFonts w:hint="eastAsia" w:asciiTheme="minorEastAsia" w:hAnsiTheme="minorEastAsia" w:eastAsiaTheme="minorEastAsia" w:cstheme="minorEastAsia"/>
          <w:sz w:val="28"/>
          <w:szCs w:val="28"/>
        </w:rPr>
        <w:t>，小型矿山按照</w:t>
      </w:r>
      <w:r>
        <w:rPr>
          <w:rFonts w:hint="eastAsia" w:asciiTheme="minorEastAsia" w:hAnsiTheme="minorEastAsia" w:eastAsiaTheme="minorEastAsia" w:cstheme="minorEastAsia"/>
          <w:color w:val="FF0000"/>
          <w:sz w:val="28"/>
          <w:szCs w:val="28"/>
        </w:rPr>
        <w:t>省级绿色矿山</w:t>
      </w:r>
      <w:r>
        <w:rPr>
          <w:rFonts w:hint="eastAsia" w:asciiTheme="minorEastAsia" w:hAnsiTheme="minorEastAsia" w:eastAsiaTheme="minorEastAsia" w:cstheme="minorEastAsia"/>
          <w:sz w:val="28"/>
          <w:szCs w:val="28"/>
        </w:rPr>
        <w:t>基本条件进行规范管理。做到资源集约节约利用水平显著提高，矿山地质环境得到有效保护，矿区土地复垦水平全面提升，矿山企业与地方关系和谐发展，矿业走上可持续发展的良性循环轨道，基本形成绿色和谐矿山的格局。</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（2）、主要任务</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到2020年，现有大中型矿山形成1〜2个市级绿色矿山试点矿山，全市绿色矿山格局初步展开。全面推进矿山安全标准化建设，全省矿山“边采边治”台阶式分层开采达标率100%。大幅减少矿山现场作业人员，全省矿山开采机械化程度达到80%以上。</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到2021年，按照绿色矿山标准创建实施，对已达到</w:t>
      </w:r>
      <w:r>
        <w:rPr>
          <w:rFonts w:hint="eastAsia" w:asciiTheme="minorEastAsia" w:hAnsiTheme="minorEastAsia" w:eastAsiaTheme="minorEastAsia" w:cstheme="minorEastAsia"/>
          <w:color w:val="FF0000"/>
          <w:sz w:val="28"/>
          <w:szCs w:val="28"/>
        </w:rPr>
        <w:t>省级绿色矿山</w:t>
      </w:r>
      <w:r>
        <w:rPr>
          <w:rFonts w:hint="eastAsia" w:asciiTheme="minorEastAsia" w:hAnsiTheme="minorEastAsia" w:eastAsiaTheme="minorEastAsia" w:cstheme="minorEastAsia"/>
          <w:sz w:val="28"/>
          <w:szCs w:val="28"/>
        </w:rPr>
        <w:t>建设标准的矿山进行监督管理；新建矿山在取得釆矿许可证之日起一年内完成绿色和谐矿山建设；全市小型矿山参照</w:t>
      </w:r>
      <w:r>
        <w:rPr>
          <w:rFonts w:hint="eastAsia" w:asciiTheme="minorEastAsia" w:hAnsiTheme="minorEastAsia" w:eastAsiaTheme="minorEastAsia" w:cstheme="minorEastAsia"/>
          <w:color w:val="FF0000"/>
          <w:sz w:val="28"/>
          <w:szCs w:val="28"/>
        </w:rPr>
        <w:t>省级绿色矿山</w:t>
      </w:r>
      <w:r>
        <w:rPr>
          <w:rFonts w:hint="eastAsia" w:asciiTheme="minorEastAsia" w:hAnsiTheme="minorEastAsia" w:eastAsiaTheme="minorEastAsia" w:cstheme="minorEastAsia"/>
          <w:sz w:val="28"/>
          <w:szCs w:val="28"/>
        </w:rPr>
        <w:t>基本条件进行管理。全市基本形成绿色和谐矿山格局。</w:t>
      </w:r>
    </w:p>
    <w:p>
      <w:pPr>
        <w:spacing w:line="520" w:lineRule="exact"/>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2、绿色矿山建设基本要求</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规划期间，全市境内砂石资源矿山企业重点从以下方面开展绿色和谐矿山建设工作：</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（1）、以依法办矿为基础，建设安全生产矿山</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矿山依法取得釆矿所需的各种证照，依法依规开展生产，自觉接受各级监督审查，按时足额缴纳各种税费。要保证安全生产的资金投入，确保矿山无安全事故发生。</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（2）、做好环境保护，把握重点问题，及时推进治理复垦工作</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严格执行矿山建设项目环境保护“三同时”原则，落实各项环境保护措施，对碎石加工区釆取封闭式加工，加强对运输道路的防尘措施，实现矿区矿容矿貌干净整洁。严格控制绿色矿山建设资金投入，最大限度提升绿色矿山建设的经济效益；对绿色矿山土地资源进行保护，科学处理土地荒置问题，减少绿色矿山建设过程中的历史欠账；对矿山环境治理进行强调，做好环境保护、土地复垦、生态环境重建等内容设置，依照可持续发展理念对绿色矿山体系进行完善，从根本上提升矿山保护效益。</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严格按照有关规定和要求开展矿山地质环境恢复治理，落实地质灾害防治措施，对矿山及周边范围内存在的地质灾害隐患点及时治理，确保无重大地质灾害事故发生。</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矿山应通过种树、种草皮等方法积极进行矿区绿化，绿化覆盖率达到矿区绿化区域面积的80%以上。</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3、以清洁生产为源头，倡导节能减排</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积极开展节能减排工作，从生产生活的源头抓起，釆用无废或少废工艺，全过程充分利用资源，"三废"全部实现达标排放，推进低能耗技术应用，节能降耗达到省里规定指标要求。</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妥善处理矿区内固体废弃物，矿山剥离的表土得到合理利用。</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4、坚持“回报社会”，与地方携手共谋发展</w:t>
      </w:r>
    </w:p>
    <w:p>
      <w:pPr>
        <w:spacing w:line="520" w:lineRule="exact"/>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在矿区周边开展和谐矿区活动，支持当地乡镇水、电、路等基础设施建设，改善矿区及周边生产生活环境；优先安排矿区及周边居民就业，开展扶贫救助等惠民利民活动，增强与当地居民的交流沟通，促进矿地和谐稳定。</w:t>
      </w:r>
    </w:p>
    <w:p>
      <w:pPr>
        <w:ind w:firstLine="560"/>
        <w:rPr>
          <w:kern w:val="0"/>
          <w:sz w:val="28"/>
          <w:szCs w:val="28"/>
        </w:rPr>
      </w:pPr>
    </w:p>
    <w:p>
      <w:pPr>
        <w:ind w:firstLine="560"/>
        <w:rPr>
          <w:kern w:val="0"/>
          <w:sz w:val="28"/>
          <w:szCs w:val="28"/>
        </w:rPr>
      </w:pPr>
    </w:p>
    <w:p>
      <w:pPr>
        <w:rPr>
          <w:kern w:val="0"/>
          <w:sz w:val="28"/>
          <w:szCs w:val="28"/>
        </w:rPr>
      </w:pPr>
      <w:r>
        <w:rPr>
          <w:kern w:val="0"/>
          <w:sz w:val="28"/>
          <w:szCs w:val="28"/>
        </w:rPr>
        <w:br w:type="page"/>
      </w:r>
    </w:p>
    <w:p>
      <w:pPr>
        <w:pStyle w:val="5"/>
        <w:jc w:val="center"/>
        <w:rPr>
          <w:rFonts w:hint="default" w:ascii="黑体" w:hAnsi="黑体" w:eastAsia="黑体" w:cs="黑体"/>
          <w:b w:val="0"/>
          <w:bCs/>
          <w:sz w:val="36"/>
          <w:szCs w:val="36"/>
        </w:rPr>
      </w:pPr>
      <w:bookmarkStart w:id="49" w:name="_Toc17711"/>
      <w:r>
        <w:rPr>
          <w:rFonts w:ascii="黑体" w:hAnsi="黑体" w:eastAsia="黑体" w:cs="黑体"/>
          <w:b w:val="0"/>
          <w:bCs/>
          <w:sz w:val="36"/>
          <w:szCs w:val="36"/>
        </w:rPr>
        <w:t>六、重点工程</w:t>
      </w:r>
      <w:bookmarkEnd w:id="49"/>
    </w:p>
    <w:p>
      <w:pPr>
        <w:spacing w:line="360" w:lineRule="auto"/>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（一）矿产资源开发利用与保护工程</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通过实施砂石土矿资源开发利用与保护工程，推进砂石土矿资源开发利用向现代化方向发展，提升资源开发利用水平，提高矿山回采率，矿山的综合生产效益，带动资源的高效合理利用水平，在</w:t>
      </w:r>
      <w:r>
        <w:rPr>
          <w:rFonts w:ascii="宋体" w:hAnsi="宋体"/>
          <w:sz w:val="28"/>
          <w:szCs w:val="28"/>
        </w:rPr>
        <w:t>余庆街道办事处及东湖圩镇</w:t>
      </w:r>
      <w:r>
        <w:rPr>
          <w:rFonts w:hint="eastAsia" w:asciiTheme="minorEastAsia" w:hAnsiTheme="minorEastAsia" w:eastAsiaTheme="minorEastAsia" w:cstheme="minorEastAsia"/>
          <w:sz w:val="28"/>
          <w:szCs w:val="28"/>
        </w:rPr>
        <w:t>培育1-2个集生产、加工、销售一体化的砂石矿规模生产基地，提高产品的附加值，促使砂石土矿开采向成品化、产品化、基地化方向发展，同时，加强矿产资源的充分利用，减少原矿开采开采方面废土、废石量的产生，减轻对周边环境的影响。扩大绿色运输的研究和使用力度，减少因运输对周边群众生活质量的影响，全市实施矿产资源开发利用与重点工程2个（</w:t>
      </w:r>
      <w:r>
        <w:rPr>
          <w:rFonts w:hint="eastAsia" w:ascii="宋体" w:hAnsi="宋体" w:cs="宋体"/>
          <w:sz w:val="28"/>
          <w:szCs w:val="28"/>
        </w:rPr>
        <w:t>专栏十四</w:t>
      </w:r>
      <w:r>
        <w:rPr>
          <w:rFonts w:hint="eastAsia" w:asciiTheme="minorEastAsia" w:hAnsiTheme="minorEastAsia" w:eastAsiaTheme="minorEastAsia" w:cstheme="minorEastAsia"/>
          <w:sz w:val="28"/>
          <w:szCs w:val="28"/>
        </w:rPr>
        <w:t>）。</w:t>
      </w:r>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专栏十四             耒阳市矿产资源开发利用与重点工程</w:t>
      </w:r>
    </w:p>
    <w:tbl>
      <w:tblPr>
        <w:tblStyle w:val="18"/>
        <w:tblW w:w="886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7"/>
        <w:gridCol w:w="2250"/>
        <w:gridCol w:w="1701"/>
        <w:gridCol w:w="3099"/>
        <w:gridCol w:w="9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4" w:hRule="atLeast"/>
        </w:trPr>
        <w:tc>
          <w:tcPr>
            <w:tcW w:w="827" w:type="dxa"/>
            <w:vAlign w:val="center"/>
          </w:tcPr>
          <w:p>
            <w:pPr>
              <w:pStyle w:val="2"/>
              <w:ind w:firstLine="0" w:firstLineChars="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2250" w:type="dxa"/>
            <w:vAlign w:val="center"/>
          </w:tcPr>
          <w:p>
            <w:pPr>
              <w:pStyle w:val="2"/>
              <w:ind w:firstLine="24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w:t>
            </w:r>
          </w:p>
        </w:tc>
        <w:tc>
          <w:tcPr>
            <w:tcW w:w="1701" w:type="dxa"/>
            <w:vAlign w:val="center"/>
          </w:tcPr>
          <w:p>
            <w:pPr>
              <w:pStyle w:val="2"/>
              <w:ind w:firstLine="240"/>
              <w:jc w:val="left"/>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所在行政区</w:t>
            </w:r>
          </w:p>
        </w:tc>
        <w:tc>
          <w:tcPr>
            <w:tcW w:w="3099" w:type="dxa"/>
            <w:vAlign w:val="center"/>
          </w:tcPr>
          <w:p>
            <w:pPr>
              <w:pStyle w:val="2"/>
              <w:ind w:firstLine="24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主要工作内容</w:t>
            </w:r>
          </w:p>
        </w:tc>
        <w:tc>
          <w:tcPr>
            <w:tcW w:w="984"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trPr>
        <w:tc>
          <w:tcPr>
            <w:tcW w:w="827" w:type="dxa"/>
            <w:vAlign w:val="center"/>
          </w:tcPr>
          <w:p>
            <w:pPr>
              <w:pStyle w:val="2"/>
              <w:ind w:firstLine="28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1</w:t>
            </w:r>
          </w:p>
        </w:tc>
        <w:tc>
          <w:tcPr>
            <w:tcW w:w="2250" w:type="dxa"/>
            <w:vAlign w:val="center"/>
          </w:tcPr>
          <w:p>
            <w:pPr>
              <w:pStyle w:val="2"/>
              <w:ind w:firstLine="0" w:firstLineChars="0"/>
              <w:rPr>
                <w:rFonts w:asciiTheme="minorEastAsia" w:hAnsiTheme="minorEastAsia" w:eastAsiaTheme="minorEastAsia" w:cstheme="minorEastAsia"/>
                <w:sz w:val="24"/>
              </w:rPr>
            </w:pPr>
            <w:r>
              <w:rPr>
                <w:rFonts w:asciiTheme="minorEastAsia" w:hAnsiTheme="minorEastAsia" w:eastAsiaTheme="minorEastAsia" w:cstheme="minorEastAsia"/>
                <w:sz w:val="24"/>
              </w:rPr>
              <w:t>余庆街道办事处</w:t>
            </w:r>
            <w:r>
              <w:rPr>
                <w:rFonts w:hint="eastAsia" w:asciiTheme="minorEastAsia" w:hAnsiTheme="minorEastAsia" w:eastAsiaTheme="minorEastAsia" w:cstheme="minorEastAsia"/>
                <w:sz w:val="24"/>
              </w:rPr>
              <w:t xml:space="preserve">                                                                                    建筑石料用灰岩 </w:t>
            </w:r>
            <w:r>
              <w:rPr>
                <w:rFonts w:asciiTheme="minorEastAsia" w:hAnsiTheme="minorEastAsia" w:eastAsiaTheme="minorEastAsia" w:cstheme="minorEastAsia"/>
                <w:sz w:val="24"/>
              </w:rPr>
              <w:t>生产基地</w:t>
            </w:r>
          </w:p>
        </w:tc>
        <w:tc>
          <w:tcPr>
            <w:tcW w:w="1701" w:type="dxa"/>
            <w:vAlign w:val="center"/>
          </w:tcPr>
          <w:p>
            <w:pPr>
              <w:pStyle w:val="2"/>
              <w:ind w:firstLine="0" w:firstLineChars="0"/>
              <w:rPr>
                <w:rFonts w:asciiTheme="minorEastAsia" w:hAnsiTheme="minorEastAsia" w:eastAsiaTheme="minorEastAsia" w:cstheme="minorEastAsia"/>
                <w:sz w:val="24"/>
              </w:rPr>
            </w:pPr>
            <w:r>
              <w:rPr>
                <w:rFonts w:asciiTheme="minorEastAsia" w:hAnsiTheme="minorEastAsia" w:eastAsiaTheme="minorEastAsia" w:cstheme="minorEastAsia"/>
                <w:sz w:val="24"/>
              </w:rPr>
              <w:t>余庆街道办事处</w:t>
            </w:r>
          </w:p>
        </w:tc>
        <w:tc>
          <w:tcPr>
            <w:tcW w:w="3099" w:type="dxa"/>
            <w:vAlign w:val="center"/>
          </w:tcPr>
          <w:p>
            <w:pPr>
              <w:pStyle w:val="2"/>
              <w:ind w:firstLine="240"/>
              <w:jc w:val="left"/>
              <w:rPr>
                <w:rFonts w:asciiTheme="minorEastAsia" w:hAnsiTheme="minorEastAsia" w:eastAsiaTheme="minorEastAsia" w:cstheme="minorEastAsia"/>
                <w:szCs w:val="28"/>
              </w:rPr>
            </w:pPr>
            <w:r>
              <w:rPr>
                <w:rFonts w:hint="eastAsia" w:asciiTheme="minorEastAsia" w:hAnsiTheme="minorEastAsia" w:eastAsiaTheme="minorEastAsia" w:cstheme="minorEastAsia"/>
                <w:sz w:val="24"/>
              </w:rPr>
              <w:t>促进矿产品开发向深加工发展，明确规模多少，投资多少，产品是什么，采用先进的加工工艺，提高产品附加值。培育1-2个集生产、加工、销售一体化的砂石矿规模生产基地，促使砂石土矿开采向成品化、产品化、基地化方向发展。</w:t>
            </w:r>
          </w:p>
        </w:tc>
        <w:tc>
          <w:tcPr>
            <w:tcW w:w="984" w:type="dxa"/>
            <w:vAlign w:val="center"/>
          </w:tcPr>
          <w:p>
            <w:pPr>
              <w:pStyle w:val="2"/>
              <w:ind w:firstLine="0" w:firstLineChars="0"/>
              <w:rPr>
                <w:rFonts w:asciiTheme="minorEastAsia" w:hAnsiTheme="minorEastAsia" w:eastAsiaTheme="minorEastAsia" w:cstheme="minorEastAsia"/>
                <w:szCs w:val="28"/>
              </w:rPr>
            </w:pPr>
            <w:r>
              <w:rPr>
                <w:rFonts w:hint="eastAsia" w:asciiTheme="minorEastAsia" w:hAnsiTheme="minorEastAsia" w:eastAsiaTheme="minorEastAsia" w:cstheme="minorEastAsia"/>
                <w:sz w:val="24"/>
              </w:rPr>
              <w:t>包括水泥用灰岩矿</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0" w:hRule="atLeast"/>
        </w:trPr>
        <w:tc>
          <w:tcPr>
            <w:tcW w:w="827" w:type="dxa"/>
            <w:vAlign w:val="center"/>
          </w:tcPr>
          <w:p>
            <w:pPr>
              <w:pStyle w:val="2"/>
              <w:ind w:firstLine="280"/>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2</w:t>
            </w:r>
          </w:p>
        </w:tc>
        <w:tc>
          <w:tcPr>
            <w:tcW w:w="2250" w:type="dxa"/>
            <w:vAlign w:val="center"/>
          </w:tcPr>
          <w:p>
            <w:pPr>
              <w:pStyle w:val="2"/>
              <w:ind w:firstLine="0" w:firstLineChars="0"/>
              <w:rPr>
                <w:rFonts w:asciiTheme="minorEastAsia" w:hAnsiTheme="minorEastAsia" w:eastAsiaTheme="minorEastAsia" w:cstheme="minorEastAsia"/>
                <w:sz w:val="24"/>
              </w:rPr>
            </w:pPr>
            <w:r>
              <w:rPr>
                <w:rFonts w:asciiTheme="minorEastAsia" w:hAnsiTheme="minorEastAsia" w:eastAsiaTheme="minorEastAsia" w:cstheme="minorEastAsia"/>
                <w:sz w:val="24"/>
              </w:rPr>
              <w:t>东湖圩镇</w:t>
            </w:r>
            <w:r>
              <w:rPr>
                <w:rFonts w:hint="eastAsia" w:asciiTheme="minorEastAsia" w:hAnsiTheme="minorEastAsia" w:eastAsiaTheme="minorEastAsia" w:cstheme="minorEastAsia"/>
                <w:sz w:val="24"/>
              </w:rPr>
              <w:t>建筑石料用灰岩</w:t>
            </w:r>
            <w:r>
              <w:rPr>
                <w:rFonts w:asciiTheme="minorEastAsia" w:hAnsiTheme="minorEastAsia" w:eastAsiaTheme="minorEastAsia" w:cstheme="minorEastAsia"/>
                <w:sz w:val="24"/>
              </w:rPr>
              <w:t>生产基地</w:t>
            </w:r>
          </w:p>
        </w:tc>
        <w:tc>
          <w:tcPr>
            <w:tcW w:w="1701" w:type="dxa"/>
            <w:vAlign w:val="center"/>
          </w:tcPr>
          <w:p>
            <w:pPr>
              <w:pStyle w:val="2"/>
              <w:ind w:firstLine="0" w:firstLineChars="0"/>
              <w:jc w:val="center"/>
              <w:rPr>
                <w:rFonts w:asciiTheme="minorEastAsia" w:hAnsiTheme="minorEastAsia" w:eastAsiaTheme="minorEastAsia" w:cstheme="minorEastAsia"/>
                <w:sz w:val="24"/>
              </w:rPr>
            </w:pPr>
            <w:r>
              <w:rPr>
                <w:rFonts w:asciiTheme="minorEastAsia" w:hAnsiTheme="minorEastAsia" w:eastAsiaTheme="minorEastAsia" w:cstheme="minorEastAsia"/>
                <w:sz w:val="24"/>
              </w:rPr>
              <w:t>东湖圩镇</w:t>
            </w:r>
          </w:p>
        </w:tc>
        <w:tc>
          <w:tcPr>
            <w:tcW w:w="3099" w:type="dxa"/>
            <w:vAlign w:val="center"/>
          </w:tcPr>
          <w:p>
            <w:pPr>
              <w:pStyle w:val="2"/>
              <w:ind w:firstLine="240"/>
              <w:jc w:val="left"/>
              <w:rPr>
                <w:rFonts w:asciiTheme="minorEastAsia" w:hAnsiTheme="minorEastAsia" w:eastAsiaTheme="minorEastAsia" w:cstheme="minorEastAsia"/>
                <w:szCs w:val="28"/>
              </w:rPr>
            </w:pPr>
            <w:r>
              <w:rPr>
                <w:rFonts w:hint="eastAsia" w:asciiTheme="minorEastAsia" w:hAnsiTheme="minorEastAsia" w:eastAsiaTheme="minorEastAsia" w:cstheme="minorEastAsia"/>
                <w:sz w:val="24"/>
              </w:rPr>
              <w:t>增加投入，提高资源开发利用水平，建设深加工项目，提高产品附加值，改变开采方式，最大限度的节约和综合利用矿产资源</w:t>
            </w:r>
          </w:p>
        </w:tc>
        <w:tc>
          <w:tcPr>
            <w:tcW w:w="984" w:type="dxa"/>
            <w:vAlign w:val="center"/>
          </w:tcPr>
          <w:p>
            <w:pPr>
              <w:pStyle w:val="2"/>
              <w:ind w:firstLine="0" w:firstLineChars="0"/>
              <w:rPr>
                <w:rFonts w:asciiTheme="minorEastAsia" w:hAnsiTheme="minorEastAsia" w:eastAsiaTheme="minorEastAsia" w:cstheme="minorEastAsia"/>
                <w:szCs w:val="28"/>
              </w:rPr>
            </w:pPr>
          </w:p>
        </w:tc>
      </w:tr>
    </w:tbl>
    <w:p>
      <w:pPr>
        <w:spacing w:line="360" w:lineRule="auto"/>
        <w:ind w:firstLine="562" w:firstLineChars="200"/>
        <w:rPr>
          <w:rFonts w:asciiTheme="minorEastAsia" w:hAnsiTheme="minorEastAsia" w:eastAsiaTheme="minorEastAsia" w:cstheme="minorEastAsia"/>
          <w:b/>
          <w:bCs/>
          <w:sz w:val="28"/>
          <w:szCs w:val="28"/>
        </w:rPr>
      </w:pPr>
      <w:r>
        <w:rPr>
          <w:rFonts w:hint="eastAsia" w:asciiTheme="minorEastAsia" w:hAnsiTheme="minorEastAsia" w:eastAsiaTheme="minorEastAsia" w:cstheme="minorEastAsia"/>
          <w:b/>
          <w:bCs/>
          <w:sz w:val="28"/>
          <w:szCs w:val="28"/>
        </w:rPr>
        <w:t>（二）矿山地质环境保护与恢复治理工程</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通过实施矿山地质环境保护与恢复治理工程，促进矿山地质环境逐步好转，实现矿产资源开发利用与矿产地质环境保护协调发展。本次矿产地质环境保护与恢复治理重点工程，</w:t>
      </w:r>
      <w:r>
        <w:rPr>
          <w:rFonts w:asciiTheme="minorEastAsia" w:hAnsiTheme="minorEastAsia" w:eastAsiaTheme="minorEastAsia" w:cstheme="minorEastAsia"/>
          <w:sz w:val="28"/>
          <w:szCs w:val="28"/>
        </w:rPr>
        <w:t>需恢</w:t>
      </w:r>
      <w:r>
        <w:rPr>
          <w:rFonts w:hint="eastAsia" w:asciiTheme="minorEastAsia" w:hAnsiTheme="minorEastAsia" w:eastAsiaTheme="minorEastAsia" w:cstheme="minorEastAsia"/>
          <w:sz w:val="28"/>
          <w:szCs w:val="28"/>
        </w:rPr>
        <w:t>复</w:t>
      </w:r>
      <w:r>
        <w:rPr>
          <w:rFonts w:asciiTheme="minorEastAsia" w:hAnsiTheme="minorEastAsia" w:eastAsiaTheme="minorEastAsia" w:cstheme="minorEastAsia"/>
          <w:sz w:val="28"/>
          <w:szCs w:val="28"/>
        </w:rPr>
        <w:t>治理面积为</w:t>
      </w:r>
      <w:r>
        <w:rPr>
          <w:rFonts w:hint="eastAsia" w:asciiTheme="minorEastAsia" w:hAnsiTheme="minorEastAsia" w:eastAsiaTheme="minorEastAsia" w:cstheme="minorEastAsia"/>
          <w:sz w:val="28"/>
          <w:szCs w:val="28"/>
        </w:rPr>
        <w:t>16.18公顷，见</w:t>
      </w:r>
      <w:r>
        <w:rPr>
          <w:rFonts w:hint="eastAsia" w:ascii="宋体" w:hAnsi="宋体" w:cs="宋体"/>
          <w:sz w:val="28"/>
          <w:szCs w:val="28"/>
        </w:rPr>
        <w:t>专栏十五</w:t>
      </w:r>
      <w:r>
        <w:rPr>
          <w:rFonts w:hint="eastAsia" w:asciiTheme="minorEastAsia" w:hAnsiTheme="minorEastAsia" w:eastAsiaTheme="minorEastAsia" w:cstheme="minorEastAsia"/>
          <w:sz w:val="28"/>
          <w:szCs w:val="28"/>
        </w:rPr>
        <w:t>。</w:t>
      </w:r>
    </w:p>
    <w:p>
      <w:pPr>
        <w:spacing w:line="360" w:lineRule="auto"/>
        <w:rPr>
          <w:rFonts w:asciiTheme="minorEastAsia" w:hAnsiTheme="minorEastAsia" w:eastAsiaTheme="minorEastAsia" w:cstheme="minorEastAsia"/>
          <w:b/>
          <w:bCs/>
          <w:sz w:val="24"/>
        </w:rPr>
      </w:pPr>
      <w:r>
        <w:rPr>
          <w:rFonts w:hint="eastAsia" w:asciiTheme="minorEastAsia" w:hAnsiTheme="minorEastAsia" w:eastAsiaTheme="minorEastAsia" w:cstheme="minorEastAsia"/>
          <w:b/>
          <w:bCs/>
          <w:sz w:val="24"/>
        </w:rPr>
        <w:t>专栏十五        耒阳市矿山地质环境保护与恢复治理重点工程</w:t>
      </w:r>
    </w:p>
    <w:tbl>
      <w:tblPr>
        <w:tblStyle w:val="18"/>
        <w:tblW w:w="966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5"/>
        <w:gridCol w:w="1560"/>
        <w:gridCol w:w="1467"/>
        <w:gridCol w:w="1068"/>
        <w:gridCol w:w="1007"/>
        <w:gridCol w:w="2728"/>
        <w:gridCol w:w="10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序号</w:t>
            </w:r>
          </w:p>
        </w:tc>
        <w:tc>
          <w:tcPr>
            <w:tcW w:w="1560"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项目名称</w:t>
            </w:r>
          </w:p>
        </w:tc>
        <w:tc>
          <w:tcPr>
            <w:tcW w:w="146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矿山占用破坏土地面积（公顷）</w:t>
            </w:r>
          </w:p>
        </w:tc>
        <w:tc>
          <w:tcPr>
            <w:tcW w:w="106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恢复治理面积（公顷）</w:t>
            </w:r>
          </w:p>
        </w:tc>
        <w:tc>
          <w:tcPr>
            <w:tcW w:w="100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土地复垦面积</w:t>
            </w:r>
          </w:p>
        </w:tc>
        <w:tc>
          <w:tcPr>
            <w:tcW w:w="272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主要治理任务</w:t>
            </w:r>
          </w:p>
        </w:tc>
        <w:tc>
          <w:tcPr>
            <w:tcW w:w="1099"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项目起止时间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w:t>
            </w:r>
          </w:p>
        </w:tc>
        <w:tc>
          <w:tcPr>
            <w:tcW w:w="1560"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长坪乡建筑石料用灰岩矿恢复治理重点工程</w:t>
            </w:r>
          </w:p>
        </w:tc>
        <w:tc>
          <w:tcPr>
            <w:tcW w:w="1467" w:type="dxa"/>
            <w:vAlign w:val="center"/>
          </w:tcPr>
          <w:p>
            <w:pPr>
              <w:pStyle w:val="2"/>
              <w:ind w:firstLine="0" w:firstLineChars="0"/>
              <w:jc w:val="center"/>
              <w:rPr>
                <w:rFonts w:asciiTheme="minorEastAsia" w:hAnsiTheme="minorEastAsia" w:eastAsiaTheme="minorEastAsia" w:cstheme="minorEastAsia"/>
                <w:sz w:val="24"/>
              </w:rPr>
            </w:pPr>
            <w:r>
              <w:rPr>
                <w:rFonts w:asciiTheme="minorEastAsia" w:hAnsiTheme="minorEastAsia" w:eastAsiaTheme="minorEastAsia" w:cstheme="minorEastAsia"/>
                <w:sz w:val="24"/>
              </w:rPr>
              <w:t>2.5</w:t>
            </w:r>
          </w:p>
        </w:tc>
        <w:tc>
          <w:tcPr>
            <w:tcW w:w="106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2.5</w:t>
            </w:r>
          </w:p>
        </w:tc>
        <w:tc>
          <w:tcPr>
            <w:tcW w:w="100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2.5</w:t>
            </w:r>
          </w:p>
        </w:tc>
        <w:tc>
          <w:tcPr>
            <w:tcW w:w="2728" w:type="dxa"/>
            <w:vAlign w:val="center"/>
          </w:tcPr>
          <w:p>
            <w:pPr>
              <w:pStyle w:val="2"/>
              <w:ind w:firstLine="0" w:firstLineChars="0"/>
              <w:jc w:val="center"/>
              <w:rPr>
                <w:rFonts w:hint="eastAsia" w:asciiTheme="minorEastAsia" w:hAnsiTheme="minorEastAsia" w:eastAsiaTheme="minorEastAsia" w:cstheme="minorEastAsia"/>
                <w:sz w:val="24"/>
                <w:lang w:val="en-US" w:eastAsia="zh-CN"/>
              </w:rPr>
            </w:pPr>
            <w:r>
              <w:rPr>
                <w:rFonts w:hint="eastAsia" w:asciiTheme="minorEastAsia" w:hAnsiTheme="minorEastAsia" w:eastAsiaTheme="minorEastAsia" w:cstheme="minorEastAsia"/>
                <w:sz w:val="24"/>
              </w:rPr>
              <w:t>开采矿坑封闭填埋恢复治理，边坡、废渣及废石堆放场治理、矸石利用绿化、土地复垦</w:t>
            </w:r>
            <w:r>
              <w:rPr>
                <w:rFonts w:hint="eastAsia" w:asciiTheme="minorEastAsia" w:hAnsiTheme="minorEastAsia" w:eastAsiaTheme="minorEastAsia" w:cstheme="minorEastAsia"/>
                <w:sz w:val="24"/>
                <w:lang w:val="en-US" w:eastAsia="zh-CN"/>
              </w:rPr>
              <w:t>,实现绿色矿山建设。</w:t>
            </w:r>
          </w:p>
        </w:tc>
        <w:tc>
          <w:tcPr>
            <w:tcW w:w="1099"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2020-2026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2"/>
              <w:ind w:firstLine="0" w:firstLineChars="0"/>
              <w:jc w:val="center"/>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2</w:t>
            </w:r>
          </w:p>
        </w:tc>
        <w:tc>
          <w:tcPr>
            <w:tcW w:w="1560" w:type="dxa"/>
            <w:vAlign w:val="center"/>
          </w:tcPr>
          <w:p>
            <w:pPr>
              <w:pStyle w:val="2"/>
              <w:ind w:firstLine="0" w:firstLineChars="0"/>
              <w:jc w:val="center"/>
              <w:rPr>
                <w:rFonts w:asciiTheme="minorEastAsia" w:hAnsiTheme="minorEastAsia" w:eastAsiaTheme="minorEastAsia" w:cstheme="minorEastAsia"/>
                <w:szCs w:val="28"/>
              </w:rPr>
            </w:pPr>
            <w:r>
              <w:rPr>
                <w:rFonts w:asciiTheme="minorEastAsia" w:hAnsiTheme="minorEastAsia" w:eastAsiaTheme="minorEastAsia" w:cstheme="minorEastAsia"/>
                <w:sz w:val="24"/>
              </w:rPr>
              <w:t>余庆街道办事处</w:t>
            </w:r>
            <w:r>
              <w:rPr>
                <w:rFonts w:hint="eastAsia" w:asciiTheme="minorEastAsia" w:hAnsiTheme="minorEastAsia" w:eastAsiaTheme="minorEastAsia" w:cstheme="minorEastAsia"/>
                <w:sz w:val="24"/>
              </w:rPr>
              <w:t>建筑石料用灰岩矿恢复治理重点工程</w:t>
            </w:r>
          </w:p>
        </w:tc>
        <w:tc>
          <w:tcPr>
            <w:tcW w:w="1467" w:type="dxa"/>
            <w:vAlign w:val="center"/>
          </w:tcPr>
          <w:p>
            <w:pPr>
              <w:pStyle w:val="2"/>
              <w:ind w:firstLine="0" w:firstLineChars="0"/>
              <w:jc w:val="center"/>
              <w:rPr>
                <w:rFonts w:asciiTheme="minorEastAsia" w:hAnsiTheme="minorEastAsia" w:eastAsiaTheme="minorEastAsia" w:cstheme="minorEastAsia"/>
                <w:sz w:val="24"/>
              </w:rPr>
            </w:pPr>
            <w:r>
              <w:rPr>
                <w:rFonts w:asciiTheme="minorEastAsia" w:hAnsiTheme="minorEastAsia" w:eastAsiaTheme="minorEastAsia" w:cstheme="minorEastAsia"/>
                <w:sz w:val="24"/>
              </w:rPr>
              <w:t>4.3</w:t>
            </w:r>
          </w:p>
        </w:tc>
        <w:tc>
          <w:tcPr>
            <w:tcW w:w="106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4.3</w:t>
            </w:r>
          </w:p>
        </w:tc>
        <w:tc>
          <w:tcPr>
            <w:tcW w:w="100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4.3</w:t>
            </w:r>
          </w:p>
        </w:tc>
        <w:tc>
          <w:tcPr>
            <w:tcW w:w="2728" w:type="dxa"/>
            <w:vAlign w:val="center"/>
          </w:tcPr>
          <w:p>
            <w:pPr>
              <w:pStyle w:val="2"/>
              <w:ind w:firstLine="0" w:firstLineChars="0"/>
              <w:jc w:val="center"/>
              <w:rPr>
                <w:rFonts w:hint="eastAsia" w:asciiTheme="minorEastAsia" w:hAnsiTheme="minorEastAsia" w:eastAsiaTheme="minorEastAsia" w:cstheme="minorEastAsia"/>
                <w:szCs w:val="28"/>
                <w:lang w:eastAsia="zh-CN"/>
              </w:rPr>
            </w:pPr>
            <w:r>
              <w:rPr>
                <w:rFonts w:hint="eastAsia" w:asciiTheme="minorEastAsia" w:hAnsiTheme="minorEastAsia" w:eastAsiaTheme="minorEastAsia" w:cstheme="minorEastAsia"/>
                <w:sz w:val="24"/>
              </w:rPr>
              <w:t>开采矿坑封闭填埋恢复治理，边坡、废渣及废石堆放场治理、矸石利用绿化、土地复垦</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实现绿色矿山建设。</w:t>
            </w:r>
          </w:p>
        </w:tc>
        <w:tc>
          <w:tcPr>
            <w:tcW w:w="1099"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2020-2026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2"/>
              <w:ind w:firstLine="0" w:firstLineChars="0"/>
              <w:jc w:val="center"/>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3</w:t>
            </w:r>
          </w:p>
        </w:tc>
        <w:tc>
          <w:tcPr>
            <w:tcW w:w="1560"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公</w:t>
            </w:r>
            <w:r>
              <w:rPr>
                <w:rFonts w:asciiTheme="minorEastAsia" w:hAnsiTheme="minorEastAsia" w:eastAsiaTheme="minorEastAsia" w:cstheme="minorEastAsia"/>
                <w:sz w:val="24"/>
              </w:rPr>
              <w:t>平镇</w:t>
            </w:r>
            <w:r>
              <w:rPr>
                <w:rFonts w:hint="eastAsia" w:asciiTheme="minorEastAsia" w:hAnsiTheme="minorEastAsia" w:eastAsiaTheme="minorEastAsia" w:cstheme="minorEastAsia"/>
                <w:sz w:val="24"/>
              </w:rPr>
              <w:t>建筑石料用灰岩</w:t>
            </w:r>
            <w:r>
              <w:rPr>
                <w:rFonts w:asciiTheme="minorEastAsia" w:hAnsiTheme="minorEastAsia" w:eastAsiaTheme="minorEastAsia" w:cstheme="minorEastAsia"/>
                <w:sz w:val="24"/>
              </w:rPr>
              <w:t>矿</w:t>
            </w:r>
            <w:r>
              <w:rPr>
                <w:rFonts w:hint="eastAsia" w:asciiTheme="minorEastAsia" w:hAnsiTheme="minorEastAsia" w:eastAsiaTheme="minorEastAsia" w:cstheme="minorEastAsia"/>
                <w:sz w:val="24"/>
              </w:rPr>
              <w:t>恢复治理重点工程</w:t>
            </w:r>
          </w:p>
        </w:tc>
        <w:tc>
          <w:tcPr>
            <w:tcW w:w="146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4.08</w:t>
            </w:r>
          </w:p>
        </w:tc>
        <w:tc>
          <w:tcPr>
            <w:tcW w:w="106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4.08</w:t>
            </w:r>
          </w:p>
        </w:tc>
        <w:tc>
          <w:tcPr>
            <w:tcW w:w="100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4.08</w:t>
            </w:r>
          </w:p>
        </w:tc>
        <w:tc>
          <w:tcPr>
            <w:tcW w:w="2728" w:type="dxa"/>
          </w:tcPr>
          <w:p>
            <w:pPr>
              <w:rPr>
                <w:rFonts w:hint="eastAsia" w:ascii="Calibri" w:hAnsi="Calibri" w:eastAsiaTheme="minorEastAsia"/>
                <w:lang w:eastAsia="zh-CN"/>
              </w:rPr>
            </w:pPr>
            <w:r>
              <w:rPr>
                <w:rFonts w:hint="eastAsia" w:asciiTheme="minorEastAsia" w:hAnsiTheme="minorEastAsia" w:eastAsiaTheme="minorEastAsia" w:cstheme="minorEastAsia"/>
                <w:sz w:val="24"/>
              </w:rPr>
              <w:t>开采矿坑封闭填埋恢复治理，边坡、废渣及废石堆放场治理、矸石利用绿化、土地复垦</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实现绿色矿山建设。</w:t>
            </w:r>
          </w:p>
        </w:tc>
        <w:tc>
          <w:tcPr>
            <w:tcW w:w="1099" w:type="dxa"/>
            <w:vAlign w:val="center"/>
          </w:tcPr>
          <w:p>
            <w:pPr>
              <w:rPr>
                <w:rFonts w:ascii="Calibri" w:hAnsi="Calibri"/>
              </w:rPr>
            </w:pPr>
            <w:r>
              <w:rPr>
                <w:rFonts w:hint="eastAsia" w:asciiTheme="minorEastAsia" w:hAnsiTheme="minorEastAsia" w:eastAsiaTheme="minorEastAsia" w:cstheme="minorEastAsia"/>
                <w:sz w:val="24"/>
              </w:rPr>
              <w:t>2020-2026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2"/>
              <w:ind w:firstLine="0" w:firstLineChars="0"/>
              <w:jc w:val="center"/>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4</w:t>
            </w:r>
          </w:p>
        </w:tc>
        <w:tc>
          <w:tcPr>
            <w:tcW w:w="1560"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亮</w:t>
            </w:r>
            <w:r>
              <w:rPr>
                <w:rFonts w:asciiTheme="minorEastAsia" w:hAnsiTheme="minorEastAsia" w:eastAsiaTheme="minorEastAsia" w:cstheme="minorEastAsia"/>
                <w:sz w:val="24"/>
              </w:rPr>
              <w:t>源乡</w:t>
            </w:r>
            <w:r>
              <w:rPr>
                <w:rFonts w:hint="eastAsia" w:asciiTheme="minorEastAsia" w:hAnsiTheme="minorEastAsia" w:eastAsiaTheme="minorEastAsia" w:cstheme="minorEastAsia"/>
                <w:sz w:val="24"/>
              </w:rPr>
              <w:t>建筑石料用灰岩</w:t>
            </w:r>
            <w:r>
              <w:rPr>
                <w:rFonts w:asciiTheme="minorEastAsia" w:hAnsiTheme="minorEastAsia" w:eastAsiaTheme="minorEastAsia" w:cstheme="minorEastAsia"/>
                <w:sz w:val="24"/>
              </w:rPr>
              <w:t>矿</w:t>
            </w:r>
            <w:r>
              <w:rPr>
                <w:rFonts w:hint="eastAsia" w:asciiTheme="minorEastAsia" w:hAnsiTheme="minorEastAsia" w:eastAsiaTheme="minorEastAsia" w:cstheme="minorEastAsia"/>
                <w:sz w:val="24"/>
              </w:rPr>
              <w:t>恢复治理重点工程</w:t>
            </w:r>
          </w:p>
        </w:tc>
        <w:tc>
          <w:tcPr>
            <w:tcW w:w="146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3.1</w:t>
            </w:r>
          </w:p>
        </w:tc>
        <w:tc>
          <w:tcPr>
            <w:tcW w:w="106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3.1</w:t>
            </w:r>
          </w:p>
        </w:tc>
        <w:tc>
          <w:tcPr>
            <w:tcW w:w="100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3.1</w:t>
            </w:r>
          </w:p>
        </w:tc>
        <w:tc>
          <w:tcPr>
            <w:tcW w:w="2728" w:type="dxa"/>
          </w:tcPr>
          <w:p>
            <w:pPr>
              <w:rPr>
                <w:rFonts w:hint="eastAsia" w:ascii="Calibri" w:hAnsi="Calibri" w:eastAsiaTheme="minorEastAsia"/>
                <w:lang w:eastAsia="zh-CN"/>
              </w:rPr>
            </w:pPr>
            <w:r>
              <w:rPr>
                <w:rFonts w:hint="eastAsia" w:asciiTheme="minorEastAsia" w:hAnsiTheme="minorEastAsia" w:eastAsiaTheme="minorEastAsia" w:cstheme="minorEastAsia"/>
                <w:sz w:val="24"/>
              </w:rPr>
              <w:t>开采矿坑封闭填埋恢复治理，边坡、废渣及废石堆放场治理、矸石利用绿化、土地复垦</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实现绿色矿山建设。</w:t>
            </w:r>
          </w:p>
        </w:tc>
        <w:tc>
          <w:tcPr>
            <w:tcW w:w="1099" w:type="dxa"/>
            <w:vAlign w:val="center"/>
          </w:tcPr>
          <w:p>
            <w:pPr>
              <w:rPr>
                <w:rFonts w:ascii="Calibri" w:hAnsi="Calibri"/>
              </w:rPr>
            </w:pPr>
            <w:r>
              <w:rPr>
                <w:rFonts w:hint="eastAsia" w:asciiTheme="minorEastAsia" w:hAnsiTheme="minorEastAsia" w:eastAsiaTheme="minorEastAsia" w:cstheme="minorEastAsia"/>
                <w:sz w:val="24"/>
              </w:rPr>
              <w:t>2020-2026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35" w:type="dxa"/>
            <w:vAlign w:val="center"/>
          </w:tcPr>
          <w:p>
            <w:pPr>
              <w:pStyle w:val="2"/>
              <w:ind w:firstLine="0" w:firstLineChars="0"/>
              <w:jc w:val="center"/>
              <w:rPr>
                <w:rFonts w:asciiTheme="minorEastAsia" w:hAnsiTheme="minorEastAsia" w:eastAsiaTheme="minorEastAsia" w:cstheme="minorEastAsia"/>
                <w:szCs w:val="28"/>
              </w:rPr>
            </w:pPr>
            <w:r>
              <w:rPr>
                <w:rFonts w:hint="eastAsia" w:asciiTheme="minorEastAsia" w:hAnsiTheme="minorEastAsia" w:eastAsiaTheme="minorEastAsia" w:cstheme="minorEastAsia"/>
                <w:szCs w:val="28"/>
              </w:rPr>
              <w:t>5</w:t>
            </w:r>
          </w:p>
        </w:tc>
        <w:tc>
          <w:tcPr>
            <w:tcW w:w="1560"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水东</w:t>
            </w:r>
            <w:r>
              <w:rPr>
                <w:rFonts w:asciiTheme="minorEastAsia" w:hAnsiTheme="minorEastAsia" w:eastAsiaTheme="minorEastAsia" w:cstheme="minorEastAsia"/>
                <w:sz w:val="24"/>
              </w:rPr>
              <w:t>江街道办事处</w:t>
            </w:r>
            <w:r>
              <w:rPr>
                <w:rFonts w:hint="eastAsia" w:asciiTheme="minorEastAsia" w:hAnsiTheme="minorEastAsia" w:eastAsiaTheme="minorEastAsia" w:cstheme="minorEastAsia"/>
                <w:sz w:val="24"/>
              </w:rPr>
              <w:t>砖瓦</w:t>
            </w:r>
            <w:r>
              <w:rPr>
                <w:rFonts w:asciiTheme="minorEastAsia" w:hAnsiTheme="minorEastAsia" w:eastAsiaTheme="minorEastAsia" w:cstheme="minorEastAsia"/>
                <w:sz w:val="24"/>
              </w:rPr>
              <w:t>用页岩矿</w:t>
            </w:r>
            <w:r>
              <w:rPr>
                <w:rFonts w:hint="eastAsia" w:asciiTheme="minorEastAsia" w:hAnsiTheme="minorEastAsia" w:eastAsiaTheme="minorEastAsia" w:cstheme="minorEastAsia"/>
                <w:sz w:val="24"/>
              </w:rPr>
              <w:t>恢复治理重点工程</w:t>
            </w:r>
          </w:p>
        </w:tc>
        <w:tc>
          <w:tcPr>
            <w:tcW w:w="146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2.2</w:t>
            </w:r>
          </w:p>
        </w:tc>
        <w:tc>
          <w:tcPr>
            <w:tcW w:w="106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2.2</w:t>
            </w:r>
          </w:p>
        </w:tc>
        <w:tc>
          <w:tcPr>
            <w:tcW w:w="100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2.2</w:t>
            </w:r>
          </w:p>
        </w:tc>
        <w:tc>
          <w:tcPr>
            <w:tcW w:w="2728" w:type="dxa"/>
          </w:tcPr>
          <w:p>
            <w:pPr>
              <w:rPr>
                <w:rFonts w:hint="eastAsia" w:ascii="Calibri" w:hAnsi="Calibri" w:eastAsiaTheme="minorEastAsia"/>
                <w:lang w:eastAsia="zh-CN"/>
              </w:rPr>
            </w:pPr>
            <w:r>
              <w:rPr>
                <w:rFonts w:hint="eastAsia" w:asciiTheme="minorEastAsia" w:hAnsiTheme="minorEastAsia" w:eastAsiaTheme="minorEastAsia" w:cstheme="minorEastAsia"/>
                <w:sz w:val="24"/>
              </w:rPr>
              <w:t>采区整平恢复治理，边坡、废渣及废石堆放场治理、绿化、土地复垦</w:t>
            </w:r>
            <w:r>
              <w:rPr>
                <w:rFonts w:hint="eastAsia" w:asciiTheme="minorEastAsia" w:hAnsiTheme="minorEastAsia" w:eastAsiaTheme="minorEastAsia" w:cstheme="minorEastAsia"/>
                <w:sz w:val="24"/>
                <w:lang w:eastAsia="zh-CN"/>
              </w:rPr>
              <w:t>，</w:t>
            </w:r>
            <w:r>
              <w:rPr>
                <w:rFonts w:hint="eastAsia" w:asciiTheme="minorEastAsia" w:hAnsiTheme="minorEastAsia" w:eastAsiaTheme="minorEastAsia" w:cstheme="minorEastAsia"/>
                <w:sz w:val="24"/>
                <w:lang w:val="en-US" w:eastAsia="zh-CN"/>
              </w:rPr>
              <w:t>实现绿色矿山建设。</w:t>
            </w:r>
          </w:p>
        </w:tc>
        <w:tc>
          <w:tcPr>
            <w:tcW w:w="1099" w:type="dxa"/>
            <w:vAlign w:val="center"/>
          </w:tcPr>
          <w:p>
            <w:pPr>
              <w:rPr>
                <w:rFonts w:ascii="Calibri" w:hAnsi="Calibri"/>
              </w:rPr>
            </w:pPr>
            <w:r>
              <w:rPr>
                <w:rFonts w:hint="eastAsia" w:asciiTheme="minorEastAsia" w:hAnsiTheme="minorEastAsia" w:eastAsiaTheme="minorEastAsia" w:cstheme="minorEastAsia"/>
                <w:sz w:val="24"/>
              </w:rPr>
              <w:t>2020-2026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95" w:type="dxa"/>
            <w:gridSpan w:val="2"/>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Cs w:val="28"/>
              </w:rPr>
              <w:t>合</w:t>
            </w:r>
            <w:r>
              <w:rPr>
                <w:rFonts w:asciiTheme="minorEastAsia" w:hAnsiTheme="minorEastAsia" w:eastAsiaTheme="minorEastAsia" w:cstheme="minorEastAsia"/>
                <w:szCs w:val="28"/>
              </w:rPr>
              <w:t>计</w:t>
            </w:r>
          </w:p>
        </w:tc>
        <w:tc>
          <w:tcPr>
            <w:tcW w:w="146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16.18</w:t>
            </w:r>
          </w:p>
        </w:tc>
        <w:tc>
          <w:tcPr>
            <w:tcW w:w="1068"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16.18</w:t>
            </w:r>
          </w:p>
        </w:tc>
        <w:tc>
          <w:tcPr>
            <w:tcW w:w="1007" w:type="dxa"/>
            <w:vAlign w:val="center"/>
          </w:tcPr>
          <w:p>
            <w:pPr>
              <w:pStyle w:val="2"/>
              <w:ind w:firstLine="0" w:firstLineChars="0"/>
              <w:jc w:val="center"/>
              <w:rPr>
                <w:rFonts w:asciiTheme="minorEastAsia" w:hAnsiTheme="minorEastAsia" w:eastAsiaTheme="minorEastAsia" w:cstheme="minorEastAsia"/>
                <w:sz w:val="24"/>
              </w:rPr>
            </w:pPr>
            <w:r>
              <w:rPr>
                <w:rFonts w:hint="eastAsia" w:asciiTheme="minorEastAsia" w:hAnsiTheme="minorEastAsia" w:eastAsiaTheme="minorEastAsia" w:cstheme="minorEastAsia"/>
                <w:sz w:val="24"/>
              </w:rPr>
              <w:t>16.18</w:t>
            </w:r>
          </w:p>
        </w:tc>
        <w:tc>
          <w:tcPr>
            <w:tcW w:w="2728" w:type="dxa"/>
          </w:tcPr>
          <w:p>
            <w:pPr>
              <w:rPr>
                <w:rFonts w:asciiTheme="minorEastAsia" w:hAnsiTheme="minorEastAsia" w:eastAsiaTheme="minorEastAsia" w:cstheme="minorEastAsia"/>
                <w:sz w:val="24"/>
              </w:rPr>
            </w:pPr>
          </w:p>
        </w:tc>
        <w:tc>
          <w:tcPr>
            <w:tcW w:w="1099" w:type="dxa"/>
            <w:vAlign w:val="center"/>
          </w:tcPr>
          <w:p>
            <w:pPr>
              <w:rPr>
                <w:rFonts w:asciiTheme="minorEastAsia" w:hAnsiTheme="minorEastAsia" w:eastAsiaTheme="minorEastAsia" w:cstheme="minorEastAsia"/>
                <w:sz w:val="24"/>
              </w:rPr>
            </w:pPr>
          </w:p>
        </w:tc>
      </w:tr>
    </w:tbl>
    <w:p>
      <w:pPr>
        <w:pStyle w:val="5"/>
        <w:jc w:val="center"/>
        <w:rPr>
          <w:rFonts w:hint="default" w:ascii="黑体" w:hAnsi="黑体" w:eastAsia="黑体" w:cs="黑体"/>
          <w:b w:val="0"/>
          <w:bCs/>
          <w:sz w:val="32"/>
          <w:szCs w:val="32"/>
        </w:rPr>
      </w:pPr>
      <w:bookmarkStart w:id="50" w:name="_Toc11197"/>
      <w:r>
        <w:rPr>
          <w:rFonts w:ascii="黑体" w:hAnsi="黑体" w:eastAsia="黑体" w:cs="黑体"/>
          <w:b w:val="0"/>
          <w:bCs/>
          <w:sz w:val="32"/>
          <w:szCs w:val="32"/>
        </w:rPr>
        <w:t>七、规划管理与实施</w:t>
      </w:r>
      <w:bookmarkEnd w:id="50"/>
    </w:p>
    <w:p>
      <w:pPr>
        <w:pStyle w:val="5"/>
        <w:spacing w:line="360" w:lineRule="auto"/>
        <w:ind w:firstLine="562" w:firstLineChars="200"/>
        <w:rPr>
          <w:rFonts w:hint="default" w:asciiTheme="minorEastAsia" w:hAnsiTheme="minorEastAsia" w:eastAsiaTheme="minorEastAsia" w:cstheme="minorEastAsia"/>
          <w:sz w:val="28"/>
          <w:szCs w:val="28"/>
        </w:rPr>
      </w:pPr>
      <w:bookmarkStart w:id="51" w:name="_Toc20197"/>
      <w:r>
        <w:rPr>
          <w:rFonts w:asciiTheme="minorEastAsia" w:hAnsiTheme="minorEastAsia" w:eastAsiaTheme="minorEastAsia" w:cstheme="minorEastAsia"/>
          <w:sz w:val="28"/>
          <w:szCs w:val="28"/>
        </w:rPr>
        <w:t>(一)矿产资源管理</w:t>
      </w:r>
      <w:bookmarkEnd w:id="51"/>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1、完善管理系统，提高管理水平。建立矿产资源管理信息，系统和数据库，加快与其他矿政管理信息系统衔接，完善规范实施管理的监测、评价、预警技术。及时准确地掌握矿产资源储量增减、资源利用现状、矿山地质环境等动态变化及规划实施情况信息，实现对矿产资源总体规划实施情况的实施监测，实现国土资源“一张图”管理。及时对规范实施效果进行评价并作为判断，确保规范的实施和处理决策，以信息化带动科学化和服务社会化。充分发挥新闻、报刊、广播、网络的宣传作用，及时发布规范实施信息，逐步提高公众对规划的认识，促进矿业权人自觉依法开展矿产资源勘查和开发利用，合理利用资源，加强矿山地质环境保护，以规划管理信息化促进规划管理科学化，提高矿产资源规划的工作效率和管理水平。</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加强巡查监管，对砂石土矿资源开发活动建立“市、县、镇”三级动态巡查监控管理长效机制，严厉打击违法违规开采、运输矿石行为，维护矿产资源开发秩序。耒阳市（县级）自然资源部门牵头对辖区内砂石资源采矿权的巡查监管工作，其安监、工商、环保、林业、水利、交通运输等有关部门以及矿区所在镇级人民政府按职能分工定期开展对辖区内砂石资源采矿权违法违规开采、运输石料矿产资源行为监控的督促检查工作。</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规范砂石土矿资源出让。允许开采区应严格执行《湖南省矿业权招标拍卖挂牌出让管理办法》（湘政办发（2016）65号）。采矿权出让后，出让方应及时与竞得人签订出让合同，明确出让年限，出让收益缴纳方式和期限，绿色矿山建设、地质环境综合防治、矿山地质环境恢复基金设立等相关内容。规范已设矿山扩界资源出让程序，严格执行《国土资源部关于完善矿产资源开采审批登记管理有关事项的通知》（国土资规（2017）16号）要求，不得以协议方式扩界；整合后矿山矿区范围存在扩界且涉及增加资源的，也不得采取协议方式扩界。</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4、优化办证程序。招拍挂出让的砂石采矿权（含扩界情形），不再划定矿区范围，以采矿权申请范围实地核查确定的范围为准，编制储量核实报告，资源开发利用方案，地质环境综合防治方案等相关报程序办理，但颁发采矿许可证有效期不超过1年，凡限期退出的，一次性办理有效期不超过2020年底的采矿许可证，凡申请注销采矿权的，按简化材料和程序要求办理注销手续。</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5、加强相关政策、资金、技术供给。制定产业、土地、管理、科技、财税、投融资以及环境保护等相应激励政策，营造良好的投资环境，努力拓展资金筹措渠道，积极争取国家、省、市级财政投资和社会资金投资。为规划重大工程提供资金保障。对在规划实施工作中取得重大突破的给予奖励。完善矿产资源节约与综合利用的经济激励机制和约束机制。</w:t>
      </w:r>
    </w:p>
    <w:p>
      <w:pPr>
        <w:pStyle w:val="5"/>
        <w:spacing w:line="360" w:lineRule="auto"/>
        <w:ind w:firstLine="562" w:firstLineChars="200"/>
        <w:rPr>
          <w:rFonts w:hint="default" w:asciiTheme="minorEastAsia" w:hAnsiTheme="minorEastAsia" w:eastAsiaTheme="minorEastAsia" w:cstheme="minorEastAsia"/>
          <w:sz w:val="28"/>
          <w:szCs w:val="28"/>
        </w:rPr>
      </w:pPr>
      <w:bookmarkStart w:id="52" w:name="_Toc30566"/>
      <w:r>
        <w:rPr>
          <w:rFonts w:asciiTheme="minorEastAsia" w:hAnsiTheme="minorEastAsia" w:eastAsiaTheme="minorEastAsia" w:cstheme="minorEastAsia"/>
          <w:sz w:val="28"/>
          <w:szCs w:val="28"/>
        </w:rPr>
        <w:t>(二)规划实施保障措施</w:t>
      </w:r>
      <w:bookmarkEnd w:id="52"/>
    </w:p>
    <w:p>
      <w:pPr>
        <w:spacing w:line="360" w:lineRule="auto"/>
        <w:ind w:firstLine="560" w:firstLineChars="200"/>
        <w:rPr>
          <w:rFonts w:asciiTheme="minorEastAsia" w:hAnsiTheme="minorEastAsia" w:eastAsiaTheme="minorEastAsia" w:cstheme="minorEastAsia"/>
          <w:sz w:val="28"/>
          <w:szCs w:val="28"/>
        </w:rPr>
      </w:pPr>
      <w:bookmarkStart w:id="53" w:name="_Toc23459518"/>
      <w:bookmarkStart w:id="54" w:name="_Toc16493"/>
      <w:bookmarkStart w:id="55" w:name="_Toc29053"/>
      <w:bookmarkStart w:id="56" w:name="_Toc21868"/>
      <w:bookmarkStart w:id="57" w:name="_Toc10023_WPSOffice_Level1"/>
      <w:bookmarkStart w:id="58" w:name="_Toc16157"/>
      <w:r>
        <w:rPr>
          <w:rFonts w:hint="eastAsia" w:asciiTheme="minorEastAsia" w:hAnsiTheme="minorEastAsia" w:eastAsiaTheme="minorEastAsia" w:cstheme="minorEastAsia"/>
          <w:sz w:val="28"/>
          <w:szCs w:val="28"/>
        </w:rPr>
        <w:t>1、建立规划实施目标责任制。在耒阳市人民政府的领导下，</w:t>
      </w:r>
      <w:r>
        <w:rPr>
          <w:rFonts w:hint="eastAsia" w:asciiTheme="minorEastAsia" w:hAnsiTheme="minorEastAsia" w:eastAsiaTheme="minorEastAsia" w:cstheme="minorEastAsia"/>
          <w:bCs/>
          <w:kern w:val="0"/>
          <w:sz w:val="28"/>
          <w:szCs w:val="28"/>
          <w:lang w:val="zh-TW" w:eastAsia="zh-TW"/>
        </w:rPr>
        <w:t>成立矿山地质环境治理领导小组，分管</w:t>
      </w:r>
      <w:r>
        <w:rPr>
          <w:rFonts w:hint="eastAsia" w:asciiTheme="minorEastAsia" w:hAnsiTheme="minorEastAsia" w:eastAsiaTheme="minorEastAsia" w:cstheme="minorEastAsia"/>
          <w:bCs/>
          <w:kern w:val="0"/>
          <w:sz w:val="28"/>
          <w:szCs w:val="28"/>
          <w:lang w:val="zh-TW"/>
        </w:rPr>
        <w:t>市</w:t>
      </w:r>
      <w:r>
        <w:rPr>
          <w:rFonts w:hint="eastAsia" w:asciiTheme="minorEastAsia" w:hAnsiTheme="minorEastAsia" w:eastAsiaTheme="minorEastAsia" w:cstheme="minorEastAsia"/>
          <w:bCs/>
          <w:kern w:val="0"/>
          <w:sz w:val="28"/>
          <w:szCs w:val="28"/>
          <w:lang w:val="zh-TW" w:eastAsia="zh-TW"/>
        </w:rPr>
        <w:t>长任组长，办公室设在</w:t>
      </w:r>
      <w:r>
        <w:rPr>
          <w:rFonts w:hint="eastAsia" w:asciiTheme="minorEastAsia" w:hAnsiTheme="minorEastAsia" w:eastAsiaTheme="minorEastAsia" w:cstheme="minorEastAsia"/>
          <w:bCs/>
          <w:kern w:val="0"/>
          <w:sz w:val="28"/>
          <w:szCs w:val="28"/>
          <w:lang w:val="zh-TW"/>
        </w:rPr>
        <w:t>市自然</w:t>
      </w:r>
      <w:r>
        <w:rPr>
          <w:rFonts w:hint="eastAsia" w:asciiTheme="minorEastAsia" w:hAnsiTheme="minorEastAsia" w:eastAsiaTheme="minorEastAsia" w:cstheme="minorEastAsia"/>
          <w:bCs/>
          <w:kern w:val="0"/>
          <w:sz w:val="28"/>
          <w:szCs w:val="28"/>
          <w:lang w:val="zh-TW" w:eastAsia="zh-TW"/>
        </w:rPr>
        <w:t>资源局，</w:t>
      </w:r>
      <w:r>
        <w:rPr>
          <w:rFonts w:hint="eastAsia" w:asciiTheme="minorEastAsia" w:hAnsiTheme="minorEastAsia" w:eastAsiaTheme="minorEastAsia" w:cstheme="minorEastAsia"/>
          <w:bCs/>
          <w:kern w:val="0"/>
          <w:sz w:val="28"/>
          <w:szCs w:val="28"/>
          <w:lang w:val="zh-TW"/>
        </w:rPr>
        <w:t>市自然</w:t>
      </w:r>
      <w:r>
        <w:rPr>
          <w:rFonts w:hint="eastAsia" w:asciiTheme="minorEastAsia" w:hAnsiTheme="minorEastAsia" w:eastAsiaTheme="minorEastAsia" w:cstheme="minorEastAsia"/>
          <w:bCs/>
          <w:kern w:val="0"/>
          <w:sz w:val="28"/>
          <w:szCs w:val="28"/>
          <w:lang w:val="zh-TW" w:eastAsia="zh-TW"/>
        </w:rPr>
        <w:t>资源局负责日常工作和治理项目监管，建立领导和部门责任制，建立徤全</w:t>
      </w:r>
      <w:r>
        <w:rPr>
          <w:rFonts w:hint="eastAsia" w:asciiTheme="minorEastAsia" w:hAnsiTheme="minorEastAsia" w:eastAsiaTheme="minorEastAsia" w:cstheme="minorEastAsia"/>
          <w:bCs/>
          <w:kern w:val="0"/>
          <w:sz w:val="28"/>
          <w:szCs w:val="28"/>
          <w:lang w:val="zh-TW"/>
        </w:rPr>
        <w:t>市</w:t>
      </w:r>
      <w:r>
        <w:rPr>
          <w:rFonts w:hint="eastAsia" w:asciiTheme="minorEastAsia" w:hAnsiTheme="minorEastAsia" w:eastAsiaTheme="minorEastAsia" w:cstheme="minorEastAsia"/>
          <w:bCs/>
          <w:kern w:val="0"/>
          <w:sz w:val="28"/>
          <w:szCs w:val="28"/>
          <w:lang w:val="zh-TW" w:eastAsia="zh-TW"/>
        </w:rPr>
        <w:t>政府主导、部门联动、各司其职的责任体系，市级相关职能部门加强对矿山生态环境保护治理工作的检查督导，确保各项任务落到实处</w:t>
      </w:r>
      <w:r>
        <w:rPr>
          <w:rFonts w:hint="eastAsia" w:asciiTheme="minorEastAsia" w:hAnsiTheme="minorEastAsia" w:eastAsiaTheme="minorEastAsia" w:cstheme="minorEastAsia"/>
          <w:bCs/>
          <w:kern w:val="0"/>
          <w:sz w:val="28"/>
          <w:szCs w:val="28"/>
          <w:lang w:val="zh-TW"/>
        </w:rPr>
        <w:t>，</w:t>
      </w:r>
      <w:r>
        <w:rPr>
          <w:rFonts w:hint="eastAsia" w:asciiTheme="minorEastAsia" w:hAnsiTheme="minorEastAsia" w:eastAsiaTheme="minorEastAsia" w:cstheme="minorEastAsia"/>
          <w:sz w:val="28"/>
          <w:szCs w:val="28"/>
        </w:rPr>
        <w:t>相关部门协作配合，科学制定规划目标实施详细计划，建立规划实施目标责任制，建立规划实施监督机制。将开采量控制、“三率”达标，矿山生态环境修复治理。绿色矿山建设等规划目标分解细化并落实到具体矿山企业，将规划目标执行情况作为矿山企业办理相关手续的必备条件。</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2、制定相关工作实施步骤和完成时限。按照《规划》和相关要求，制定允许开采区投放；扩界、整合矿山出让；矿山生态环境修复治理；绿色矿山建设；关闭退出、限期退出矿山等各项工作实施步骤和完成时限，明确实施规划重点任务的时序安排。</w:t>
      </w:r>
    </w:p>
    <w:p>
      <w:pPr>
        <w:spacing w:line="360" w:lineRule="auto"/>
        <w:ind w:firstLine="560" w:firstLineChars="200"/>
        <w:rPr>
          <w:rFonts w:asciiTheme="minorEastAsia" w:hAnsiTheme="minorEastAsia" w:eastAsiaTheme="minorEastAsia" w:cstheme="minorEastAsia"/>
          <w:sz w:val="28"/>
          <w:szCs w:val="28"/>
        </w:rPr>
      </w:pPr>
      <w:r>
        <w:rPr>
          <w:rFonts w:hint="eastAsia" w:asciiTheme="minorEastAsia" w:hAnsiTheme="minorEastAsia" w:eastAsiaTheme="minorEastAsia" w:cstheme="minorEastAsia"/>
          <w:sz w:val="28"/>
          <w:szCs w:val="28"/>
        </w:rPr>
        <w:t>3、严格规划实施监督管理。按照相关要求，建立完善砂石土开采、产品质理控制、绿色矿山建设、生态环境保护和安全生产等方面的管理制度；开展生产矿山监管核查，建立矿山监管档案；对规划重点工程、关闭矿山退出、历史遗留矿山生态环境修复治理等实施有效监督管理。</w:t>
      </w:r>
    </w:p>
    <w:p>
      <w:pPr>
        <w:pStyle w:val="2"/>
        <w:ind w:firstLine="280"/>
        <w:rPr>
          <w:rFonts w:asciiTheme="minorEastAsia" w:hAnsiTheme="minorEastAsia" w:eastAsiaTheme="minorEastAsia" w:cstheme="minorEastAsia"/>
          <w:szCs w:val="28"/>
        </w:rPr>
      </w:pPr>
    </w:p>
    <w:bookmarkEnd w:id="53"/>
    <w:bookmarkEnd w:id="54"/>
    <w:bookmarkEnd w:id="55"/>
    <w:bookmarkEnd w:id="56"/>
    <w:bookmarkEnd w:id="57"/>
    <w:bookmarkEnd w:id="58"/>
    <w:p>
      <w:pPr>
        <w:pStyle w:val="5"/>
        <w:jc w:val="both"/>
        <w:rPr>
          <w:rFonts w:hint="default" w:ascii="黑体" w:hAnsi="黑体" w:eastAsia="黑体" w:cs="黑体"/>
          <w:b w:val="0"/>
          <w:bCs/>
          <w:sz w:val="32"/>
          <w:szCs w:val="32"/>
          <w:lang w:val="zh-TW"/>
        </w:rPr>
      </w:pPr>
      <w:bookmarkStart w:id="59" w:name="_Toc17580"/>
    </w:p>
    <w:p>
      <w:pPr>
        <w:pStyle w:val="5"/>
        <w:jc w:val="both"/>
        <w:rPr>
          <w:rFonts w:hint="default" w:ascii="黑体" w:hAnsi="黑体" w:eastAsia="黑体" w:cs="黑体"/>
          <w:b w:val="0"/>
          <w:bCs/>
          <w:sz w:val="32"/>
          <w:szCs w:val="32"/>
          <w:lang w:val="zh-TW"/>
        </w:rPr>
      </w:pPr>
      <w:r>
        <w:rPr>
          <w:rFonts w:ascii="黑体" w:hAnsi="黑体" w:eastAsia="黑体" w:cs="黑体"/>
          <w:b w:val="0"/>
          <w:bCs/>
          <w:sz w:val="32"/>
          <w:szCs w:val="32"/>
          <w:lang w:val="zh-TW"/>
        </w:rPr>
        <w:t>附则：</w:t>
      </w:r>
      <w:bookmarkEnd w:id="59"/>
    </w:p>
    <w:p>
      <w:pPr>
        <w:pStyle w:val="2"/>
        <w:ind w:firstLine="560" w:firstLineChars="200"/>
        <w:rPr>
          <w:rFonts w:asciiTheme="minorEastAsia" w:hAnsiTheme="minorEastAsia" w:eastAsiaTheme="minorEastAsia" w:cstheme="minorEastAsia"/>
          <w:szCs w:val="28"/>
          <w:lang w:val="zh-TW"/>
        </w:rPr>
      </w:pPr>
      <w:r>
        <w:rPr>
          <w:rFonts w:hint="eastAsia" w:asciiTheme="minorEastAsia" w:hAnsiTheme="minorEastAsia" w:eastAsiaTheme="minorEastAsia" w:cstheme="minorEastAsia"/>
          <w:szCs w:val="28"/>
          <w:lang w:val="zh-TW"/>
        </w:rPr>
        <w:t>《规划》由湖南省自然资源厅会同耒阳市人民政府审批，由耒阳市人民政府发布实施。</w:t>
      </w:r>
    </w:p>
    <w:p>
      <w:pPr>
        <w:pStyle w:val="2"/>
        <w:ind w:firstLine="560" w:firstLineChars="200"/>
        <w:rPr>
          <w:rFonts w:asciiTheme="minorEastAsia" w:hAnsiTheme="minorEastAsia" w:eastAsiaTheme="minorEastAsia" w:cstheme="minorEastAsia"/>
          <w:szCs w:val="28"/>
          <w:lang w:val="zh-TW"/>
        </w:rPr>
      </w:pPr>
      <w:r>
        <w:rPr>
          <w:rFonts w:hint="eastAsia" w:asciiTheme="minorEastAsia" w:hAnsiTheme="minorEastAsia" w:eastAsiaTheme="minorEastAsia" w:cstheme="minorEastAsia"/>
          <w:szCs w:val="28"/>
          <w:lang w:val="zh-TW"/>
        </w:rPr>
        <w:t>《规划》由耒阳市自然资源局负责解释。</w:t>
      </w:r>
    </w:p>
    <w:p>
      <w:pPr>
        <w:pStyle w:val="2"/>
        <w:ind w:firstLine="560" w:firstLineChars="200"/>
        <w:rPr>
          <w:rFonts w:asciiTheme="minorEastAsia" w:hAnsiTheme="minorEastAsia" w:eastAsiaTheme="minorEastAsia" w:cstheme="minorEastAsia"/>
          <w:szCs w:val="28"/>
          <w:lang w:val="zh-TW"/>
        </w:rPr>
      </w:pPr>
      <w:r>
        <w:rPr>
          <w:rFonts w:hint="eastAsia" w:asciiTheme="minorEastAsia" w:hAnsiTheme="minorEastAsia" w:eastAsiaTheme="minorEastAsia" w:cstheme="minorEastAsia"/>
          <w:szCs w:val="28"/>
          <w:lang w:val="zh-TW"/>
        </w:rPr>
        <w:t>根据区域国民经济与社会发展实际情况，需要对《规划》进行修改和调整的，由耒阳市自然资源局组织，相关行业部门配合进行修改和调整，并按规划审批程序报批后实施。</w:t>
      </w:r>
    </w:p>
    <w:sectPr>
      <w:footerReference r:id="rId5"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onsolas">
    <w:panose1 w:val="020B0609020204030204"/>
    <w:charset w:val="00"/>
    <w:family w:val="modern"/>
    <w:pitch w:val="default"/>
    <w:sig w:usb0="E10002FF" w:usb1="4000FCFF" w:usb2="00000009" w:usb3="00000000" w:csb0="6000019F" w:csb1="DFD7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0000000000000000000"/>
    <w:charset w:val="86"/>
    <w:family w:val="script"/>
    <w:pitch w:val="default"/>
    <w:sig w:usb0="00000000" w:usb1="00000000" w:usb2="00000010" w:usb3="00000000" w:csb0="00040000" w:csb1="00000000"/>
  </w:font>
  <w:font w:name="MingLiU">
    <w:panose1 w:val="02020509000000000000"/>
    <w:charset w:val="88"/>
    <w:family w:val="modern"/>
    <w:pitch w:val="default"/>
    <w:sig w:usb0="A00002FF" w:usb1="28CFFCFA" w:usb2="00000016" w:usb3="00000000" w:csb0="00100001" w:csb1="00000000"/>
  </w:font>
  <w:font w:name="Angsana New">
    <w:panose1 w:val="02020603050405020304"/>
    <w:charset w:val="00"/>
    <w:family w:val="roman"/>
    <w:pitch w:val="default"/>
    <w:sig w:usb0="81000003" w:usb1="00000000" w:usb2="00000000" w:usb3="00000000" w:csb0="00010001" w:csb1="00000000"/>
  </w:font>
  <w:font w:name="仿宋_GB2312">
    <w:panose1 w:val="0201060903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tabs>
        <w:tab w:val="left" w:pos="4692"/>
        <w:tab w:val="clear" w:pos="4153"/>
      </w:tabs>
    </w:pPr>
    <w:r>
      <w:rPr>
        <w:rFonts w:hint="eastAsia"/>
      </w:rPr>
      <w:tab/>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3518007"/>
    </w:sdtPr>
    <w:sdtContent>
      <w:p>
        <w:pPr>
          <w:pStyle w:val="11"/>
          <w:jc w:val="center"/>
        </w:pPr>
        <w:r>
          <w:fldChar w:fldCharType="begin"/>
        </w:r>
        <w:r>
          <w:instrText xml:space="preserve"> PAGE   \* MERGEFORMAT </w:instrText>
        </w:r>
        <w:r>
          <w:fldChar w:fldCharType="separate"/>
        </w:r>
        <w:r>
          <w:rPr>
            <w:lang w:val="zh-CN"/>
          </w:rPr>
          <w:t>22</w:t>
        </w:r>
        <w:r>
          <w:rPr>
            <w:lang w:val="zh-CN"/>
          </w:rPr>
          <w:fldChar w:fldCharType="end"/>
        </w:r>
      </w:p>
    </w:sdtContent>
  </w:sdt>
  <w:p>
    <w:pPr>
      <w:pStyle w:val="11"/>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1"/>
    </w:pPr>
    <w:r>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s0lY7tAAAAAFAQAADwAAAAAAAAABACAAAAAiAAAA&#10;ZHJzL2Rvd25yZXYueG1sUEsBAhQAFAAAAAgAh07iQNn6MNYPAgAABwQAAA4AAAAAAAAAAQAgAAAA&#10;HwEAAGRycy9lMm9Eb2MueG1sUEsFBgAAAAAGAAYAWQEAAKAFAAAAAA==&#10;">
          <v:path/>
          <v:fill on="f" focussize="0,0"/>
          <v:stroke on="f" weight="0.5pt" joinstyle="miter"/>
          <v:imagedata o:title=""/>
          <o:lock v:ext="edit"/>
          <v:textbox inset="0mm,0mm,0mm,0mm" style="mso-fit-shape-to-text:t;">
            <w:txbxContent>
              <w:p>
                <w:pPr>
                  <w:pStyle w:val="11"/>
                </w:pPr>
                <w:r>
                  <w:fldChar w:fldCharType="begin"/>
                </w:r>
                <w:r>
                  <w:instrText xml:space="preserve"> PAGE  \* MERGEFORMAT </w:instrText>
                </w:r>
                <w:r>
                  <w:fldChar w:fldCharType="separate"/>
                </w:r>
                <w:r>
                  <w:t>26</w:t>
                </w:r>
                <w:r>
                  <w:fldChar w:fldCharType="end"/>
                </w:r>
              </w:p>
            </w:txbxContent>
          </v:textbox>
        </v:shape>
      </w:pic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E7ABC3C8"/>
    <w:multiLevelType w:val="singleLevel"/>
    <w:tmpl w:val="E7ABC3C8"/>
    <w:lvl w:ilvl="0" w:tentative="0">
      <w:start w:val="2"/>
      <w:numFmt w:val="chineseCounting"/>
      <w:lvlText w:val="(%1)"/>
      <w:lvlJc w:val="left"/>
      <w:pPr>
        <w:tabs>
          <w:tab w:val="left" w:pos="312"/>
        </w:tabs>
      </w:pPr>
      <w:rPr>
        <w:rFonts w:hint="eastAsia"/>
      </w:rPr>
    </w:lvl>
  </w:abstractNum>
  <w:abstractNum w:abstractNumId="1">
    <w:nsid w:val="EBC71F7A"/>
    <w:multiLevelType w:val="singleLevel"/>
    <w:tmpl w:val="EBC71F7A"/>
    <w:lvl w:ilvl="0" w:tentative="0">
      <w:start w:val="1"/>
      <w:numFmt w:val="decimal"/>
      <w:suff w:val="nothing"/>
      <w:lvlText w:val="%1、"/>
      <w:lvlJc w:val="left"/>
    </w:lvl>
  </w:abstractNum>
  <w:abstractNum w:abstractNumId="2">
    <w:nsid w:val="67C4D35B"/>
    <w:multiLevelType w:val="singleLevel"/>
    <w:tmpl w:val="67C4D35B"/>
    <w:lvl w:ilvl="0" w:tentative="0">
      <w:start w:val="5"/>
      <w:numFmt w:val="chineseCounting"/>
      <w:lvlText w:val="(%1)"/>
      <w:lvlJc w:val="left"/>
      <w:pPr>
        <w:tabs>
          <w:tab w:val="left" w:pos="312"/>
        </w:tabs>
      </w:pPr>
      <w:rPr>
        <w:rFonts w:hint="eastAsia"/>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3"/>
  <w:bordersDoNotSurroundHeader w:val="0"/>
  <w:bordersDoNotSurroundFooter w:val="0"/>
  <w:documentProtection w:enforcement="0"/>
  <w:defaultTabStop w:val="420"/>
  <w:drawingGridVerticalSpacing w:val="159"/>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rsids>
    <w:rsidRoot w:val="00172A27"/>
    <w:rsid w:val="00002587"/>
    <w:rsid w:val="00053161"/>
    <w:rsid w:val="000871DC"/>
    <w:rsid w:val="000E71B8"/>
    <w:rsid w:val="001010D1"/>
    <w:rsid w:val="00140DBE"/>
    <w:rsid w:val="00172A27"/>
    <w:rsid w:val="00224520"/>
    <w:rsid w:val="002312DF"/>
    <w:rsid w:val="002A3BC4"/>
    <w:rsid w:val="002E4A41"/>
    <w:rsid w:val="00305EEE"/>
    <w:rsid w:val="00394FD0"/>
    <w:rsid w:val="00403372"/>
    <w:rsid w:val="00444B3E"/>
    <w:rsid w:val="00452598"/>
    <w:rsid w:val="00466C84"/>
    <w:rsid w:val="0049616E"/>
    <w:rsid w:val="004D73FD"/>
    <w:rsid w:val="00536E70"/>
    <w:rsid w:val="00537717"/>
    <w:rsid w:val="00540ED0"/>
    <w:rsid w:val="00542F22"/>
    <w:rsid w:val="005A5CCC"/>
    <w:rsid w:val="005E7037"/>
    <w:rsid w:val="00600C97"/>
    <w:rsid w:val="006B0327"/>
    <w:rsid w:val="006E3FE7"/>
    <w:rsid w:val="0070190F"/>
    <w:rsid w:val="0079407C"/>
    <w:rsid w:val="007D3054"/>
    <w:rsid w:val="00812FF4"/>
    <w:rsid w:val="008207DE"/>
    <w:rsid w:val="008A1A47"/>
    <w:rsid w:val="008A357B"/>
    <w:rsid w:val="00916869"/>
    <w:rsid w:val="00A14BAF"/>
    <w:rsid w:val="00A47CF4"/>
    <w:rsid w:val="00A978C9"/>
    <w:rsid w:val="00AB35C7"/>
    <w:rsid w:val="00BE2F17"/>
    <w:rsid w:val="00C44E0E"/>
    <w:rsid w:val="00C45B75"/>
    <w:rsid w:val="00C90A01"/>
    <w:rsid w:val="00C91BFF"/>
    <w:rsid w:val="00DC5789"/>
    <w:rsid w:val="00E1230C"/>
    <w:rsid w:val="00E52D67"/>
    <w:rsid w:val="00E934BD"/>
    <w:rsid w:val="00F152CA"/>
    <w:rsid w:val="00F71E3A"/>
    <w:rsid w:val="00FA29A3"/>
    <w:rsid w:val="00FB3C9E"/>
    <w:rsid w:val="00FF394D"/>
    <w:rsid w:val="01164193"/>
    <w:rsid w:val="01332F25"/>
    <w:rsid w:val="014B1C02"/>
    <w:rsid w:val="01705A6F"/>
    <w:rsid w:val="01BA4964"/>
    <w:rsid w:val="01EA5F9F"/>
    <w:rsid w:val="0211337E"/>
    <w:rsid w:val="021E1EB4"/>
    <w:rsid w:val="02360EB7"/>
    <w:rsid w:val="02484882"/>
    <w:rsid w:val="02784EF6"/>
    <w:rsid w:val="027F58CC"/>
    <w:rsid w:val="02AA1ADD"/>
    <w:rsid w:val="02AF1B41"/>
    <w:rsid w:val="02B220B1"/>
    <w:rsid w:val="02CA3B53"/>
    <w:rsid w:val="02E32319"/>
    <w:rsid w:val="03083BCF"/>
    <w:rsid w:val="0322164A"/>
    <w:rsid w:val="034217F5"/>
    <w:rsid w:val="034D298B"/>
    <w:rsid w:val="034E3E55"/>
    <w:rsid w:val="03810DE2"/>
    <w:rsid w:val="03A744B7"/>
    <w:rsid w:val="03B356C6"/>
    <w:rsid w:val="03D5792E"/>
    <w:rsid w:val="03F34A9B"/>
    <w:rsid w:val="03F83677"/>
    <w:rsid w:val="03F9055C"/>
    <w:rsid w:val="03F93E82"/>
    <w:rsid w:val="041113EB"/>
    <w:rsid w:val="04357087"/>
    <w:rsid w:val="043B11F6"/>
    <w:rsid w:val="048C2AB4"/>
    <w:rsid w:val="0496678D"/>
    <w:rsid w:val="0498667D"/>
    <w:rsid w:val="04A823CC"/>
    <w:rsid w:val="04CC1F06"/>
    <w:rsid w:val="04FE2315"/>
    <w:rsid w:val="05023781"/>
    <w:rsid w:val="050E1C94"/>
    <w:rsid w:val="05271253"/>
    <w:rsid w:val="052D5CC5"/>
    <w:rsid w:val="052F1275"/>
    <w:rsid w:val="053426B4"/>
    <w:rsid w:val="056A0A29"/>
    <w:rsid w:val="05855AAB"/>
    <w:rsid w:val="059E3AAD"/>
    <w:rsid w:val="05A64CB3"/>
    <w:rsid w:val="05CE378D"/>
    <w:rsid w:val="05D21735"/>
    <w:rsid w:val="05F0477E"/>
    <w:rsid w:val="05FD186A"/>
    <w:rsid w:val="05FD3E18"/>
    <w:rsid w:val="05FF65EA"/>
    <w:rsid w:val="062178FF"/>
    <w:rsid w:val="062D0327"/>
    <w:rsid w:val="063D7F6E"/>
    <w:rsid w:val="065B6967"/>
    <w:rsid w:val="0666148C"/>
    <w:rsid w:val="06761AB8"/>
    <w:rsid w:val="06794641"/>
    <w:rsid w:val="068B5813"/>
    <w:rsid w:val="06C353DE"/>
    <w:rsid w:val="06C53112"/>
    <w:rsid w:val="06F05F52"/>
    <w:rsid w:val="0725452D"/>
    <w:rsid w:val="072F7F56"/>
    <w:rsid w:val="07363A9A"/>
    <w:rsid w:val="073748BE"/>
    <w:rsid w:val="075D52E1"/>
    <w:rsid w:val="07874075"/>
    <w:rsid w:val="0799504F"/>
    <w:rsid w:val="079F627B"/>
    <w:rsid w:val="07BF382F"/>
    <w:rsid w:val="07DB7F28"/>
    <w:rsid w:val="07DD5820"/>
    <w:rsid w:val="07E370C5"/>
    <w:rsid w:val="07F85C99"/>
    <w:rsid w:val="08043C40"/>
    <w:rsid w:val="082457A2"/>
    <w:rsid w:val="082832A5"/>
    <w:rsid w:val="082F4ED4"/>
    <w:rsid w:val="086B5C6D"/>
    <w:rsid w:val="087926D6"/>
    <w:rsid w:val="087B6138"/>
    <w:rsid w:val="087F12BD"/>
    <w:rsid w:val="08F072CD"/>
    <w:rsid w:val="08F772C2"/>
    <w:rsid w:val="08F941C0"/>
    <w:rsid w:val="09316B4A"/>
    <w:rsid w:val="09415BD1"/>
    <w:rsid w:val="09504CC8"/>
    <w:rsid w:val="095D0F11"/>
    <w:rsid w:val="095D599C"/>
    <w:rsid w:val="096D079A"/>
    <w:rsid w:val="097A1EE7"/>
    <w:rsid w:val="09946CD3"/>
    <w:rsid w:val="09BE6C5E"/>
    <w:rsid w:val="09CB54C6"/>
    <w:rsid w:val="09EE09D1"/>
    <w:rsid w:val="09EF204F"/>
    <w:rsid w:val="09FD154D"/>
    <w:rsid w:val="0A186076"/>
    <w:rsid w:val="0A2961E2"/>
    <w:rsid w:val="0A366041"/>
    <w:rsid w:val="0AC20AC6"/>
    <w:rsid w:val="0AD91B8B"/>
    <w:rsid w:val="0AE12252"/>
    <w:rsid w:val="0AF43D55"/>
    <w:rsid w:val="0AF73810"/>
    <w:rsid w:val="0B145993"/>
    <w:rsid w:val="0B300CEF"/>
    <w:rsid w:val="0B4B14CB"/>
    <w:rsid w:val="0B66110D"/>
    <w:rsid w:val="0B733CF9"/>
    <w:rsid w:val="0B8D2DA3"/>
    <w:rsid w:val="0B90356B"/>
    <w:rsid w:val="0BDA5E37"/>
    <w:rsid w:val="0BFC5AC8"/>
    <w:rsid w:val="0C022A85"/>
    <w:rsid w:val="0C19293F"/>
    <w:rsid w:val="0C1A11D1"/>
    <w:rsid w:val="0C777D8C"/>
    <w:rsid w:val="0C817DA7"/>
    <w:rsid w:val="0CA63128"/>
    <w:rsid w:val="0CBB0A5B"/>
    <w:rsid w:val="0CC23B68"/>
    <w:rsid w:val="0D04447D"/>
    <w:rsid w:val="0D0A6011"/>
    <w:rsid w:val="0D0C5A9B"/>
    <w:rsid w:val="0D1112EA"/>
    <w:rsid w:val="0D201E70"/>
    <w:rsid w:val="0D2D1A96"/>
    <w:rsid w:val="0D2F1CE4"/>
    <w:rsid w:val="0D66065B"/>
    <w:rsid w:val="0D940CA2"/>
    <w:rsid w:val="0D962BA0"/>
    <w:rsid w:val="0DF62F68"/>
    <w:rsid w:val="0E2308F7"/>
    <w:rsid w:val="0E336FA4"/>
    <w:rsid w:val="0E66188C"/>
    <w:rsid w:val="0EC36DA0"/>
    <w:rsid w:val="0ECB644D"/>
    <w:rsid w:val="0ED7306F"/>
    <w:rsid w:val="0EEE6F7A"/>
    <w:rsid w:val="0EF1740E"/>
    <w:rsid w:val="0EF7523E"/>
    <w:rsid w:val="0F421E0E"/>
    <w:rsid w:val="0F71713D"/>
    <w:rsid w:val="0FB11727"/>
    <w:rsid w:val="0FDA3574"/>
    <w:rsid w:val="101602E9"/>
    <w:rsid w:val="10446201"/>
    <w:rsid w:val="10974C4F"/>
    <w:rsid w:val="10B53DAE"/>
    <w:rsid w:val="10E377FB"/>
    <w:rsid w:val="10E61CA9"/>
    <w:rsid w:val="10E64BD5"/>
    <w:rsid w:val="10FA52DD"/>
    <w:rsid w:val="10FD0925"/>
    <w:rsid w:val="110314EF"/>
    <w:rsid w:val="110631E6"/>
    <w:rsid w:val="11460DD0"/>
    <w:rsid w:val="11464636"/>
    <w:rsid w:val="1158746D"/>
    <w:rsid w:val="118D0586"/>
    <w:rsid w:val="11B471AF"/>
    <w:rsid w:val="11B9452D"/>
    <w:rsid w:val="11D50D78"/>
    <w:rsid w:val="11DA7C86"/>
    <w:rsid w:val="11DE632D"/>
    <w:rsid w:val="11E83473"/>
    <w:rsid w:val="123A00ED"/>
    <w:rsid w:val="12705C1B"/>
    <w:rsid w:val="1280657A"/>
    <w:rsid w:val="128D06F3"/>
    <w:rsid w:val="129B2D81"/>
    <w:rsid w:val="12A37327"/>
    <w:rsid w:val="12BB0AC7"/>
    <w:rsid w:val="12CD3973"/>
    <w:rsid w:val="12CF260A"/>
    <w:rsid w:val="12D251D0"/>
    <w:rsid w:val="12FF321A"/>
    <w:rsid w:val="131D56E6"/>
    <w:rsid w:val="1339515B"/>
    <w:rsid w:val="13532F0A"/>
    <w:rsid w:val="135760BB"/>
    <w:rsid w:val="13731551"/>
    <w:rsid w:val="137F3CF6"/>
    <w:rsid w:val="13C46462"/>
    <w:rsid w:val="13C55369"/>
    <w:rsid w:val="13CD1761"/>
    <w:rsid w:val="13E00446"/>
    <w:rsid w:val="13E45D0C"/>
    <w:rsid w:val="13EF092E"/>
    <w:rsid w:val="13FE0EEB"/>
    <w:rsid w:val="140132D6"/>
    <w:rsid w:val="140A5127"/>
    <w:rsid w:val="144530FD"/>
    <w:rsid w:val="144F5AE4"/>
    <w:rsid w:val="14501A51"/>
    <w:rsid w:val="1468148C"/>
    <w:rsid w:val="14905FB6"/>
    <w:rsid w:val="14AA241A"/>
    <w:rsid w:val="14B9287B"/>
    <w:rsid w:val="14BE6225"/>
    <w:rsid w:val="14E160D4"/>
    <w:rsid w:val="15035055"/>
    <w:rsid w:val="153A097E"/>
    <w:rsid w:val="15553A85"/>
    <w:rsid w:val="156A310A"/>
    <w:rsid w:val="157D6263"/>
    <w:rsid w:val="15804215"/>
    <w:rsid w:val="15816499"/>
    <w:rsid w:val="15C40335"/>
    <w:rsid w:val="15F20969"/>
    <w:rsid w:val="16243404"/>
    <w:rsid w:val="16365552"/>
    <w:rsid w:val="164115BA"/>
    <w:rsid w:val="1654778A"/>
    <w:rsid w:val="16622D77"/>
    <w:rsid w:val="16741BA0"/>
    <w:rsid w:val="16821BE8"/>
    <w:rsid w:val="16AF3162"/>
    <w:rsid w:val="16B312C8"/>
    <w:rsid w:val="16BB75A1"/>
    <w:rsid w:val="16BC4D01"/>
    <w:rsid w:val="16EB4D22"/>
    <w:rsid w:val="16FA1567"/>
    <w:rsid w:val="171209AD"/>
    <w:rsid w:val="17293431"/>
    <w:rsid w:val="1729452B"/>
    <w:rsid w:val="173A2498"/>
    <w:rsid w:val="173F582F"/>
    <w:rsid w:val="1740621D"/>
    <w:rsid w:val="17616C07"/>
    <w:rsid w:val="1772585E"/>
    <w:rsid w:val="177A1A64"/>
    <w:rsid w:val="177D7247"/>
    <w:rsid w:val="17856077"/>
    <w:rsid w:val="17910139"/>
    <w:rsid w:val="17A570A5"/>
    <w:rsid w:val="17A93E80"/>
    <w:rsid w:val="17BB4EDF"/>
    <w:rsid w:val="17C44BE1"/>
    <w:rsid w:val="182B1ADA"/>
    <w:rsid w:val="18320DCC"/>
    <w:rsid w:val="183E1055"/>
    <w:rsid w:val="186A3DBF"/>
    <w:rsid w:val="187156A6"/>
    <w:rsid w:val="18761184"/>
    <w:rsid w:val="187B5D85"/>
    <w:rsid w:val="18DB182D"/>
    <w:rsid w:val="18E04F39"/>
    <w:rsid w:val="1969064A"/>
    <w:rsid w:val="19717D3F"/>
    <w:rsid w:val="197D7DC0"/>
    <w:rsid w:val="19864AF1"/>
    <w:rsid w:val="199D1757"/>
    <w:rsid w:val="19E573A8"/>
    <w:rsid w:val="19FE19EB"/>
    <w:rsid w:val="1A383E76"/>
    <w:rsid w:val="1A44115E"/>
    <w:rsid w:val="1A447E67"/>
    <w:rsid w:val="1A4A72AE"/>
    <w:rsid w:val="1A55781E"/>
    <w:rsid w:val="1A5944D7"/>
    <w:rsid w:val="1A945A55"/>
    <w:rsid w:val="1AA15692"/>
    <w:rsid w:val="1AA15B94"/>
    <w:rsid w:val="1AB334E4"/>
    <w:rsid w:val="1AE227E4"/>
    <w:rsid w:val="1AE547C8"/>
    <w:rsid w:val="1B100A80"/>
    <w:rsid w:val="1B110ED4"/>
    <w:rsid w:val="1B3317F2"/>
    <w:rsid w:val="1B374D52"/>
    <w:rsid w:val="1B4F3631"/>
    <w:rsid w:val="1B521163"/>
    <w:rsid w:val="1B843553"/>
    <w:rsid w:val="1BB03A26"/>
    <w:rsid w:val="1BBC649D"/>
    <w:rsid w:val="1C0E26BB"/>
    <w:rsid w:val="1C167F7F"/>
    <w:rsid w:val="1C19794A"/>
    <w:rsid w:val="1C2D387D"/>
    <w:rsid w:val="1C3A4C81"/>
    <w:rsid w:val="1C4733BD"/>
    <w:rsid w:val="1C5551DA"/>
    <w:rsid w:val="1C7F395E"/>
    <w:rsid w:val="1C9F31FA"/>
    <w:rsid w:val="1CA379DA"/>
    <w:rsid w:val="1D0950F2"/>
    <w:rsid w:val="1D280F95"/>
    <w:rsid w:val="1D4D095F"/>
    <w:rsid w:val="1D61100C"/>
    <w:rsid w:val="1D721037"/>
    <w:rsid w:val="1D9B461D"/>
    <w:rsid w:val="1DB14251"/>
    <w:rsid w:val="1DF15E60"/>
    <w:rsid w:val="1DFF7E9D"/>
    <w:rsid w:val="1E030888"/>
    <w:rsid w:val="1E1931E9"/>
    <w:rsid w:val="1E2D3E65"/>
    <w:rsid w:val="1E2F3BD2"/>
    <w:rsid w:val="1E330273"/>
    <w:rsid w:val="1E943C28"/>
    <w:rsid w:val="1E9D7E44"/>
    <w:rsid w:val="1EB975D0"/>
    <w:rsid w:val="1F294F88"/>
    <w:rsid w:val="1F331E96"/>
    <w:rsid w:val="1F3D499D"/>
    <w:rsid w:val="1F425E11"/>
    <w:rsid w:val="1F660571"/>
    <w:rsid w:val="1F992960"/>
    <w:rsid w:val="1FA23A94"/>
    <w:rsid w:val="1FB75D74"/>
    <w:rsid w:val="1FCE7872"/>
    <w:rsid w:val="1FDB0CF4"/>
    <w:rsid w:val="1FFA0CC9"/>
    <w:rsid w:val="20060215"/>
    <w:rsid w:val="2006435F"/>
    <w:rsid w:val="2032020F"/>
    <w:rsid w:val="20350969"/>
    <w:rsid w:val="205A068F"/>
    <w:rsid w:val="2064258D"/>
    <w:rsid w:val="207A444B"/>
    <w:rsid w:val="2080683E"/>
    <w:rsid w:val="20992093"/>
    <w:rsid w:val="20D768BD"/>
    <w:rsid w:val="20E765F2"/>
    <w:rsid w:val="20ED3D6F"/>
    <w:rsid w:val="21346C18"/>
    <w:rsid w:val="21932BAF"/>
    <w:rsid w:val="219D1BAB"/>
    <w:rsid w:val="21C94988"/>
    <w:rsid w:val="21D520FE"/>
    <w:rsid w:val="21D745A3"/>
    <w:rsid w:val="22027B95"/>
    <w:rsid w:val="220E07D3"/>
    <w:rsid w:val="2228481C"/>
    <w:rsid w:val="222978FF"/>
    <w:rsid w:val="22782242"/>
    <w:rsid w:val="228D096C"/>
    <w:rsid w:val="22931B6A"/>
    <w:rsid w:val="22B912E8"/>
    <w:rsid w:val="22BA0890"/>
    <w:rsid w:val="22E32880"/>
    <w:rsid w:val="22F23D78"/>
    <w:rsid w:val="230F0921"/>
    <w:rsid w:val="231C150E"/>
    <w:rsid w:val="232B13FF"/>
    <w:rsid w:val="23481CBD"/>
    <w:rsid w:val="23544E1C"/>
    <w:rsid w:val="2359314F"/>
    <w:rsid w:val="235C05C0"/>
    <w:rsid w:val="2378150B"/>
    <w:rsid w:val="23872EAF"/>
    <w:rsid w:val="23A67477"/>
    <w:rsid w:val="23D10F6E"/>
    <w:rsid w:val="242911DC"/>
    <w:rsid w:val="242F2093"/>
    <w:rsid w:val="243D7444"/>
    <w:rsid w:val="24463167"/>
    <w:rsid w:val="249105A6"/>
    <w:rsid w:val="2497070A"/>
    <w:rsid w:val="24C30B2B"/>
    <w:rsid w:val="24CA706D"/>
    <w:rsid w:val="24DE5DE4"/>
    <w:rsid w:val="25046596"/>
    <w:rsid w:val="254034EC"/>
    <w:rsid w:val="25633C18"/>
    <w:rsid w:val="25685AE0"/>
    <w:rsid w:val="25CA5965"/>
    <w:rsid w:val="25CC1C9C"/>
    <w:rsid w:val="26123DB3"/>
    <w:rsid w:val="26337B65"/>
    <w:rsid w:val="265C304B"/>
    <w:rsid w:val="26742F9B"/>
    <w:rsid w:val="268539FD"/>
    <w:rsid w:val="27173612"/>
    <w:rsid w:val="275460CA"/>
    <w:rsid w:val="27CA5E20"/>
    <w:rsid w:val="280D5B33"/>
    <w:rsid w:val="2845091F"/>
    <w:rsid w:val="284A4297"/>
    <w:rsid w:val="288B2A90"/>
    <w:rsid w:val="288E1E59"/>
    <w:rsid w:val="28B86FD9"/>
    <w:rsid w:val="28CC4111"/>
    <w:rsid w:val="28F855E5"/>
    <w:rsid w:val="291F5316"/>
    <w:rsid w:val="29250867"/>
    <w:rsid w:val="292D171E"/>
    <w:rsid w:val="294A13B9"/>
    <w:rsid w:val="29580331"/>
    <w:rsid w:val="296A54F3"/>
    <w:rsid w:val="29B01226"/>
    <w:rsid w:val="29CA4F3B"/>
    <w:rsid w:val="29D347F8"/>
    <w:rsid w:val="29D40562"/>
    <w:rsid w:val="29E754B9"/>
    <w:rsid w:val="2A1642FC"/>
    <w:rsid w:val="2A293673"/>
    <w:rsid w:val="2A2A7682"/>
    <w:rsid w:val="2A2F25A4"/>
    <w:rsid w:val="2A355F8F"/>
    <w:rsid w:val="2A5521B5"/>
    <w:rsid w:val="2A856E63"/>
    <w:rsid w:val="2A8A0793"/>
    <w:rsid w:val="2AD33CD1"/>
    <w:rsid w:val="2AE84266"/>
    <w:rsid w:val="2AEB7976"/>
    <w:rsid w:val="2AF6109F"/>
    <w:rsid w:val="2B284545"/>
    <w:rsid w:val="2B3E7874"/>
    <w:rsid w:val="2B4E5626"/>
    <w:rsid w:val="2B5A71A5"/>
    <w:rsid w:val="2B743EBC"/>
    <w:rsid w:val="2B7D5355"/>
    <w:rsid w:val="2BA32F89"/>
    <w:rsid w:val="2BB83DE9"/>
    <w:rsid w:val="2BC366FF"/>
    <w:rsid w:val="2BC432BF"/>
    <w:rsid w:val="2C220E57"/>
    <w:rsid w:val="2C286A99"/>
    <w:rsid w:val="2C84050F"/>
    <w:rsid w:val="2CA7657D"/>
    <w:rsid w:val="2CC52B90"/>
    <w:rsid w:val="2CEC116C"/>
    <w:rsid w:val="2CF2681B"/>
    <w:rsid w:val="2D04543D"/>
    <w:rsid w:val="2D521C9A"/>
    <w:rsid w:val="2D582AA7"/>
    <w:rsid w:val="2D8B683C"/>
    <w:rsid w:val="2DA97D65"/>
    <w:rsid w:val="2DAE0E86"/>
    <w:rsid w:val="2DCA5EA1"/>
    <w:rsid w:val="2DD56EC4"/>
    <w:rsid w:val="2DD804C9"/>
    <w:rsid w:val="2DE532CB"/>
    <w:rsid w:val="2DFB00B7"/>
    <w:rsid w:val="2DFE67D3"/>
    <w:rsid w:val="2E0538A2"/>
    <w:rsid w:val="2E0B4DAE"/>
    <w:rsid w:val="2E4E3FEE"/>
    <w:rsid w:val="2E72587B"/>
    <w:rsid w:val="2EFE501C"/>
    <w:rsid w:val="2F11213F"/>
    <w:rsid w:val="2F565C7E"/>
    <w:rsid w:val="2F7F12EF"/>
    <w:rsid w:val="2F9A0C6F"/>
    <w:rsid w:val="2FA21628"/>
    <w:rsid w:val="2FA96652"/>
    <w:rsid w:val="2FB13C23"/>
    <w:rsid w:val="2FE531C6"/>
    <w:rsid w:val="305875C3"/>
    <w:rsid w:val="3079572F"/>
    <w:rsid w:val="30833B82"/>
    <w:rsid w:val="30970D77"/>
    <w:rsid w:val="30AA50C2"/>
    <w:rsid w:val="30DE018A"/>
    <w:rsid w:val="31057428"/>
    <w:rsid w:val="31320DE0"/>
    <w:rsid w:val="31495463"/>
    <w:rsid w:val="31536477"/>
    <w:rsid w:val="315D1BC7"/>
    <w:rsid w:val="31B52C89"/>
    <w:rsid w:val="31B570AC"/>
    <w:rsid w:val="31CE1C8C"/>
    <w:rsid w:val="322800F6"/>
    <w:rsid w:val="324C61D8"/>
    <w:rsid w:val="327A76FD"/>
    <w:rsid w:val="3291084D"/>
    <w:rsid w:val="329D4FFD"/>
    <w:rsid w:val="32D260B3"/>
    <w:rsid w:val="33027DBB"/>
    <w:rsid w:val="331B4724"/>
    <w:rsid w:val="333D2A02"/>
    <w:rsid w:val="33607A32"/>
    <w:rsid w:val="33736551"/>
    <w:rsid w:val="33811FE0"/>
    <w:rsid w:val="33864BAD"/>
    <w:rsid w:val="33CC66DB"/>
    <w:rsid w:val="33EB7D1C"/>
    <w:rsid w:val="33FA17CA"/>
    <w:rsid w:val="34002F9C"/>
    <w:rsid w:val="341D4D9B"/>
    <w:rsid w:val="342D150C"/>
    <w:rsid w:val="346E0797"/>
    <w:rsid w:val="34971065"/>
    <w:rsid w:val="34A077C8"/>
    <w:rsid w:val="34D007F5"/>
    <w:rsid w:val="34ED3A85"/>
    <w:rsid w:val="34EE2654"/>
    <w:rsid w:val="34FB4895"/>
    <w:rsid w:val="35006A7A"/>
    <w:rsid w:val="35281E7A"/>
    <w:rsid w:val="35406855"/>
    <w:rsid w:val="355772DB"/>
    <w:rsid w:val="358063F4"/>
    <w:rsid w:val="35972A9E"/>
    <w:rsid w:val="35EB18EB"/>
    <w:rsid w:val="35FB3AE3"/>
    <w:rsid w:val="35FB73F8"/>
    <w:rsid w:val="36000E76"/>
    <w:rsid w:val="36104C28"/>
    <w:rsid w:val="361F0327"/>
    <w:rsid w:val="36232858"/>
    <w:rsid w:val="362B3AD1"/>
    <w:rsid w:val="3630459D"/>
    <w:rsid w:val="36445385"/>
    <w:rsid w:val="36533049"/>
    <w:rsid w:val="366C08D0"/>
    <w:rsid w:val="36704CD9"/>
    <w:rsid w:val="36B01166"/>
    <w:rsid w:val="36C72F04"/>
    <w:rsid w:val="36C8744D"/>
    <w:rsid w:val="36DF37A8"/>
    <w:rsid w:val="37236721"/>
    <w:rsid w:val="375D3F0B"/>
    <w:rsid w:val="37A82734"/>
    <w:rsid w:val="38096A95"/>
    <w:rsid w:val="380B11F7"/>
    <w:rsid w:val="383C671C"/>
    <w:rsid w:val="38423DED"/>
    <w:rsid w:val="385710F3"/>
    <w:rsid w:val="38704F06"/>
    <w:rsid w:val="38811923"/>
    <w:rsid w:val="38C928FA"/>
    <w:rsid w:val="38D67DAF"/>
    <w:rsid w:val="38EA5078"/>
    <w:rsid w:val="38FD21EF"/>
    <w:rsid w:val="390D7D6A"/>
    <w:rsid w:val="390F61EA"/>
    <w:rsid w:val="3919288D"/>
    <w:rsid w:val="392534CD"/>
    <w:rsid w:val="39311C13"/>
    <w:rsid w:val="393C2967"/>
    <w:rsid w:val="39595916"/>
    <w:rsid w:val="397D04BD"/>
    <w:rsid w:val="399D7208"/>
    <w:rsid w:val="39AE05D3"/>
    <w:rsid w:val="39BE31E3"/>
    <w:rsid w:val="3A0A5CA9"/>
    <w:rsid w:val="3A6922D6"/>
    <w:rsid w:val="3A862DB3"/>
    <w:rsid w:val="3AAA2D11"/>
    <w:rsid w:val="3AEC5F76"/>
    <w:rsid w:val="3AEE2C00"/>
    <w:rsid w:val="3AEE3683"/>
    <w:rsid w:val="3AFF5724"/>
    <w:rsid w:val="3AFF759F"/>
    <w:rsid w:val="3B1E3AF2"/>
    <w:rsid w:val="3B4E09DA"/>
    <w:rsid w:val="3B6137AA"/>
    <w:rsid w:val="3B965DBE"/>
    <w:rsid w:val="3B99710C"/>
    <w:rsid w:val="3BAB78A5"/>
    <w:rsid w:val="3BC31963"/>
    <w:rsid w:val="3BD87E56"/>
    <w:rsid w:val="3BDF3FF2"/>
    <w:rsid w:val="3BF1429C"/>
    <w:rsid w:val="3C2630B4"/>
    <w:rsid w:val="3C337798"/>
    <w:rsid w:val="3C4A717D"/>
    <w:rsid w:val="3C5436BD"/>
    <w:rsid w:val="3C675914"/>
    <w:rsid w:val="3C6F16CB"/>
    <w:rsid w:val="3C9165F8"/>
    <w:rsid w:val="3CAB39E3"/>
    <w:rsid w:val="3CB33E1C"/>
    <w:rsid w:val="3CB8222B"/>
    <w:rsid w:val="3CC33573"/>
    <w:rsid w:val="3CC41F37"/>
    <w:rsid w:val="3CD516A5"/>
    <w:rsid w:val="3CD75BB3"/>
    <w:rsid w:val="3D016A53"/>
    <w:rsid w:val="3D0E5552"/>
    <w:rsid w:val="3D2D76D7"/>
    <w:rsid w:val="3D382C6A"/>
    <w:rsid w:val="3D3D2AA3"/>
    <w:rsid w:val="3D45678B"/>
    <w:rsid w:val="3D5A0597"/>
    <w:rsid w:val="3D8E2660"/>
    <w:rsid w:val="3DA14332"/>
    <w:rsid w:val="3DA341C1"/>
    <w:rsid w:val="3DC34C28"/>
    <w:rsid w:val="3E02140D"/>
    <w:rsid w:val="3E1D7A82"/>
    <w:rsid w:val="3E1E4FF6"/>
    <w:rsid w:val="3EA74B11"/>
    <w:rsid w:val="3EB002AE"/>
    <w:rsid w:val="3EC85E97"/>
    <w:rsid w:val="3F0837A6"/>
    <w:rsid w:val="3F092A0B"/>
    <w:rsid w:val="3F2E664F"/>
    <w:rsid w:val="3F552A28"/>
    <w:rsid w:val="3F5F2822"/>
    <w:rsid w:val="3F5F2F6A"/>
    <w:rsid w:val="3F773016"/>
    <w:rsid w:val="3F7A51FA"/>
    <w:rsid w:val="3F837F55"/>
    <w:rsid w:val="3F9859B6"/>
    <w:rsid w:val="3FCF3281"/>
    <w:rsid w:val="3FE65D11"/>
    <w:rsid w:val="3FEC6555"/>
    <w:rsid w:val="40346D82"/>
    <w:rsid w:val="40527597"/>
    <w:rsid w:val="40A36CE0"/>
    <w:rsid w:val="40E114A9"/>
    <w:rsid w:val="411479D1"/>
    <w:rsid w:val="411B42FE"/>
    <w:rsid w:val="41240217"/>
    <w:rsid w:val="41403579"/>
    <w:rsid w:val="41424C13"/>
    <w:rsid w:val="41583538"/>
    <w:rsid w:val="418501BE"/>
    <w:rsid w:val="41857176"/>
    <w:rsid w:val="418F6CAD"/>
    <w:rsid w:val="41A91390"/>
    <w:rsid w:val="41F537F9"/>
    <w:rsid w:val="4200693D"/>
    <w:rsid w:val="421E1416"/>
    <w:rsid w:val="423C5509"/>
    <w:rsid w:val="423D43F3"/>
    <w:rsid w:val="423F089A"/>
    <w:rsid w:val="424B38B1"/>
    <w:rsid w:val="427A240B"/>
    <w:rsid w:val="42A64E80"/>
    <w:rsid w:val="42B17DC6"/>
    <w:rsid w:val="42B20E56"/>
    <w:rsid w:val="42C87549"/>
    <w:rsid w:val="42D24BCB"/>
    <w:rsid w:val="4305258E"/>
    <w:rsid w:val="43146EF8"/>
    <w:rsid w:val="431864EA"/>
    <w:rsid w:val="43187D34"/>
    <w:rsid w:val="4319353F"/>
    <w:rsid w:val="43650E11"/>
    <w:rsid w:val="438A1EFB"/>
    <w:rsid w:val="439079CF"/>
    <w:rsid w:val="43BA15D1"/>
    <w:rsid w:val="442416CE"/>
    <w:rsid w:val="44342A4B"/>
    <w:rsid w:val="443A701F"/>
    <w:rsid w:val="443C1EF8"/>
    <w:rsid w:val="44515994"/>
    <w:rsid w:val="44515EC9"/>
    <w:rsid w:val="446E40B9"/>
    <w:rsid w:val="44770C65"/>
    <w:rsid w:val="44974919"/>
    <w:rsid w:val="44AD0E01"/>
    <w:rsid w:val="44BD37D1"/>
    <w:rsid w:val="44FF7DF8"/>
    <w:rsid w:val="45122731"/>
    <w:rsid w:val="45262519"/>
    <w:rsid w:val="452E0CAE"/>
    <w:rsid w:val="45301153"/>
    <w:rsid w:val="4590043F"/>
    <w:rsid w:val="45BC1CED"/>
    <w:rsid w:val="45CA6659"/>
    <w:rsid w:val="45D5309F"/>
    <w:rsid w:val="46066AC0"/>
    <w:rsid w:val="46212E49"/>
    <w:rsid w:val="462708D4"/>
    <w:rsid w:val="463A002C"/>
    <w:rsid w:val="463C1DF1"/>
    <w:rsid w:val="464E2B3A"/>
    <w:rsid w:val="465B4092"/>
    <w:rsid w:val="466E4CC8"/>
    <w:rsid w:val="46862317"/>
    <w:rsid w:val="46CC23EB"/>
    <w:rsid w:val="46EC2911"/>
    <w:rsid w:val="46EE7D8E"/>
    <w:rsid w:val="471701B0"/>
    <w:rsid w:val="47353F9F"/>
    <w:rsid w:val="47355FA9"/>
    <w:rsid w:val="47405A3C"/>
    <w:rsid w:val="47600044"/>
    <w:rsid w:val="47963127"/>
    <w:rsid w:val="47996D84"/>
    <w:rsid w:val="47B15652"/>
    <w:rsid w:val="47C42F29"/>
    <w:rsid w:val="47C87EEE"/>
    <w:rsid w:val="47CC3FD4"/>
    <w:rsid w:val="47D84675"/>
    <w:rsid w:val="47E04E61"/>
    <w:rsid w:val="47E34189"/>
    <w:rsid w:val="47E44DB0"/>
    <w:rsid w:val="47F8377D"/>
    <w:rsid w:val="48291909"/>
    <w:rsid w:val="482D7208"/>
    <w:rsid w:val="4831626E"/>
    <w:rsid w:val="48813E5D"/>
    <w:rsid w:val="48B011CE"/>
    <w:rsid w:val="48E3142B"/>
    <w:rsid w:val="48F013DE"/>
    <w:rsid w:val="48F02A80"/>
    <w:rsid w:val="48F20FD8"/>
    <w:rsid w:val="4902174E"/>
    <w:rsid w:val="4924264E"/>
    <w:rsid w:val="493E4616"/>
    <w:rsid w:val="49447B61"/>
    <w:rsid w:val="494D1E2B"/>
    <w:rsid w:val="494F79F7"/>
    <w:rsid w:val="49873E34"/>
    <w:rsid w:val="49B0339A"/>
    <w:rsid w:val="49CF23DB"/>
    <w:rsid w:val="49D21EDE"/>
    <w:rsid w:val="4A0402A6"/>
    <w:rsid w:val="4A43398C"/>
    <w:rsid w:val="4A68285D"/>
    <w:rsid w:val="4A855543"/>
    <w:rsid w:val="4A8C275C"/>
    <w:rsid w:val="4A9C3E3C"/>
    <w:rsid w:val="4A9E49A6"/>
    <w:rsid w:val="4AC554C6"/>
    <w:rsid w:val="4B084C61"/>
    <w:rsid w:val="4B3779F4"/>
    <w:rsid w:val="4B4055F5"/>
    <w:rsid w:val="4B424D0D"/>
    <w:rsid w:val="4B450A02"/>
    <w:rsid w:val="4B4E2953"/>
    <w:rsid w:val="4B4F23D3"/>
    <w:rsid w:val="4B612704"/>
    <w:rsid w:val="4B66072E"/>
    <w:rsid w:val="4B725B4B"/>
    <w:rsid w:val="4B810325"/>
    <w:rsid w:val="4BA22E1B"/>
    <w:rsid w:val="4BA42B9F"/>
    <w:rsid w:val="4BD23A31"/>
    <w:rsid w:val="4BEC24F5"/>
    <w:rsid w:val="4BF35D0D"/>
    <w:rsid w:val="4C305254"/>
    <w:rsid w:val="4C6113B5"/>
    <w:rsid w:val="4C754A20"/>
    <w:rsid w:val="4C9A5861"/>
    <w:rsid w:val="4C9C5824"/>
    <w:rsid w:val="4C9F4A08"/>
    <w:rsid w:val="4CA16A4B"/>
    <w:rsid w:val="4CBB46C8"/>
    <w:rsid w:val="4CE959E0"/>
    <w:rsid w:val="4D135C90"/>
    <w:rsid w:val="4D517ED6"/>
    <w:rsid w:val="4D6D702F"/>
    <w:rsid w:val="4D715FEA"/>
    <w:rsid w:val="4DA80A74"/>
    <w:rsid w:val="4DAA17BE"/>
    <w:rsid w:val="4DAD4827"/>
    <w:rsid w:val="4DAE7293"/>
    <w:rsid w:val="4DB30B4D"/>
    <w:rsid w:val="4DB67E42"/>
    <w:rsid w:val="4DC42B35"/>
    <w:rsid w:val="4DC75A03"/>
    <w:rsid w:val="4DE20ECC"/>
    <w:rsid w:val="4DE20ED5"/>
    <w:rsid w:val="4DE24F67"/>
    <w:rsid w:val="4E0447C4"/>
    <w:rsid w:val="4E175AF5"/>
    <w:rsid w:val="4E400859"/>
    <w:rsid w:val="4E4C69E0"/>
    <w:rsid w:val="4E673F2C"/>
    <w:rsid w:val="4EC84C29"/>
    <w:rsid w:val="4ED47724"/>
    <w:rsid w:val="4EDE6272"/>
    <w:rsid w:val="4EE31D01"/>
    <w:rsid w:val="4EE32786"/>
    <w:rsid w:val="4EF87FC6"/>
    <w:rsid w:val="4EFF1659"/>
    <w:rsid w:val="4EFF3711"/>
    <w:rsid w:val="4F075C46"/>
    <w:rsid w:val="4F105BBC"/>
    <w:rsid w:val="4F866314"/>
    <w:rsid w:val="4F8D3BD4"/>
    <w:rsid w:val="4FFA09CF"/>
    <w:rsid w:val="50015834"/>
    <w:rsid w:val="50146E2E"/>
    <w:rsid w:val="502B7979"/>
    <w:rsid w:val="50345F0B"/>
    <w:rsid w:val="50497076"/>
    <w:rsid w:val="504B558F"/>
    <w:rsid w:val="504E045A"/>
    <w:rsid w:val="5055122B"/>
    <w:rsid w:val="508400A6"/>
    <w:rsid w:val="50850198"/>
    <w:rsid w:val="50982DE9"/>
    <w:rsid w:val="50A71760"/>
    <w:rsid w:val="50A90B6C"/>
    <w:rsid w:val="50D75626"/>
    <w:rsid w:val="50DD3F47"/>
    <w:rsid w:val="50E0220E"/>
    <w:rsid w:val="5105243F"/>
    <w:rsid w:val="510867E0"/>
    <w:rsid w:val="510B237D"/>
    <w:rsid w:val="510D219F"/>
    <w:rsid w:val="511832F7"/>
    <w:rsid w:val="511B5A76"/>
    <w:rsid w:val="512E6C4E"/>
    <w:rsid w:val="513D7CA5"/>
    <w:rsid w:val="513F3884"/>
    <w:rsid w:val="51BD74C0"/>
    <w:rsid w:val="51CF1894"/>
    <w:rsid w:val="51D37E13"/>
    <w:rsid w:val="521F043F"/>
    <w:rsid w:val="5241306C"/>
    <w:rsid w:val="526C7A3D"/>
    <w:rsid w:val="52863329"/>
    <w:rsid w:val="52945ADD"/>
    <w:rsid w:val="529C419C"/>
    <w:rsid w:val="52C74E9F"/>
    <w:rsid w:val="52EB3677"/>
    <w:rsid w:val="52F0138B"/>
    <w:rsid w:val="5311169F"/>
    <w:rsid w:val="532516E1"/>
    <w:rsid w:val="534420AC"/>
    <w:rsid w:val="53482C97"/>
    <w:rsid w:val="53663B1F"/>
    <w:rsid w:val="537536E5"/>
    <w:rsid w:val="537A1391"/>
    <w:rsid w:val="539C4152"/>
    <w:rsid w:val="539F6C03"/>
    <w:rsid w:val="53AC3B31"/>
    <w:rsid w:val="53C17CDC"/>
    <w:rsid w:val="53D4351F"/>
    <w:rsid w:val="540C3F13"/>
    <w:rsid w:val="541A488E"/>
    <w:rsid w:val="542663E4"/>
    <w:rsid w:val="543270C8"/>
    <w:rsid w:val="543841E1"/>
    <w:rsid w:val="543D538B"/>
    <w:rsid w:val="54491023"/>
    <w:rsid w:val="548A4652"/>
    <w:rsid w:val="54D6457A"/>
    <w:rsid w:val="55053847"/>
    <w:rsid w:val="550C04C0"/>
    <w:rsid w:val="551941BF"/>
    <w:rsid w:val="554F203C"/>
    <w:rsid w:val="55605D83"/>
    <w:rsid w:val="556A5D34"/>
    <w:rsid w:val="556E45E7"/>
    <w:rsid w:val="558555DD"/>
    <w:rsid w:val="558A4242"/>
    <w:rsid w:val="559F4D58"/>
    <w:rsid w:val="55BD10EE"/>
    <w:rsid w:val="55BD7797"/>
    <w:rsid w:val="55C651E6"/>
    <w:rsid w:val="55EC432A"/>
    <w:rsid w:val="56616CC3"/>
    <w:rsid w:val="56746593"/>
    <w:rsid w:val="56850FED"/>
    <w:rsid w:val="568953B8"/>
    <w:rsid w:val="56923032"/>
    <w:rsid w:val="56A64373"/>
    <w:rsid w:val="56C51C18"/>
    <w:rsid w:val="56D72910"/>
    <w:rsid w:val="56F97E2A"/>
    <w:rsid w:val="570702D1"/>
    <w:rsid w:val="57130B04"/>
    <w:rsid w:val="57303AF7"/>
    <w:rsid w:val="573D0B3D"/>
    <w:rsid w:val="5746029B"/>
    <w:rsid w:val="57534C9E"/>
    <w:rsid w:val="577B6603"/>
    <w:rsid w:val="57F77903"/>
    <w:rsid w:val="57FA1749"/>
    <w:rsid w:val="57FE766D"/>
    <w:rsid w:val="580E186E"/>
    <w:rsid w:val="58314D8F"/>
    <w:rsid w:val="583E2E14"/>
    <w:rsid w:val="584B6D47"/>
    <w:rsid w:val="584E74F2"/>
    <w:rsid w:val="5863239A"/>
    <w:rsid w:val="5881776C"/>
    <w:rsid w:val="58AF6B16"/>
    <w:rsid w:val="58C174DB"/>
    <w:rsid w:val="58C22CB9"/>
    <w:rsid w:val="58C851FD"/>
    <w:rsid w:val="58DE2438"/>
    <w:rsid w:val="595C568F"/>
    <w:rsid w:val="59962F5F"/>
    <w:rsid w:val="599639DE"/>
    <w:rsid w:val="59A07AA5"/>
    <w:rsid w:val="59E458D8"/>
    <w:rsid w:val="59F30358"/>
    <w:rsid w:val="59F5637A"/>
    <w:rsid w:val="5A015D03"/>
    <w:rsid w:val="5A0B0E20"/>
    <w:rsid w:val="5A131584"/>
    <w:rsid w:val="5A5948FD"/>
    <w:rsid w:val="5A5A71A1"/>
    <w:rsid w:val="5A7716D6"/>
    <w:rsid w:val="5A773612"/>
    <w:rsid w:val="5A7B1C46"/>
    <w:rsid w:val="5AA039F2"/>
    <w:rsid w:val="5AAB2C78"/>
    <w:rsid w:val="5AB12156"/>
    <w:rsid w:val="5AB1248B"/>
    <w:rsid w:val="5ADE6768"/>
    <w:rsid w:val="5AEC3837"/>
    <w:rsid w:val="5AEC3C80"/>
    <w:rsid w:val="5AFD7DEC"/>
    <w:rsid w:val="5B003DC4"/>
    <w:rsid w:val="5B1B598F"/>
    <w:rsid w:val="5B241040"/>
    <w:rsid w:val="5B3B6460"/>
    <w:rsid w:val="5B4227E9"/>
    <w:rsid w:val="5B5B1701"/>
    <w:rsid w:val="5BCB2A9F"/>
    <w:rsid w:val="5BCB7AFF"/>
    <w:rsid w:val="5BD07623"/>
    <w:rsid w:val="5BD637D3"/>
    <w:rsid w:val="5BE453B9"/>
    <w:rsid w:val="5BED10FF"/>
    <w:rsid w:val="5BFE3BD0"/>
    <w:rsid w:val="5C493446"/>
    <w:rsid w:val="5C525567"/>
    <w:rsid w:val="5C5E48EE"/>
    <w:rsid w:val="5C6913FA"/>
    <w:rsid w:val="5C7B392D"/>
    <w:rsid w:val="5C9A5A8C"/>
    <w:rsid w:val="5CB67B98"/>
    <w:rsid w:val="5CC4708B"/>
    <w:rsid w:val="5CD56706"/>
    <w:rsid w:val="5CF45591"/>
    <w:rsid w:val="5CF8528E"/>
    <w:rsid w:val="5D1035C2"/>
    <w:rsid w:val="5D181DBC"/>
    <w:rsid w:val="5D287141"/>
    <w:rsid w:val="5D2D17B9"/>
    <w:rsid w:val="5D3F4F84"/>
    <w:rsid w:val="5D617280"/>
    <w:rsid w:val="5D6D3CFB"/>
    <w:rsid w:val="5D8057B5"/>
    <w:rsid w:val="5D880B83"/>
    <w:rsid w:val="5DA52EFE"/>
    <w:rsid w:val="5DC867DC"/>
    <w:rsid w:val="5E073924"/>
    <w:rsid w:val="5E0D73F9"/>
    <w:rsid w:val="5E2271A2"/>
    <w:rsid w:val="5E407E12"/>
    <w:rsid w:val="5E465A20"/>
    <w:rsid w:val="5E5E3A91"/>
    <w:rsid w:val="5E9F6C20"/>
    <w:rsid w:val="5ED11436"/>
    <w:rsid w:val="5EE711D1"/>
    <w:rsid w:val="5EF40952"/>
    <w:rsid w:val="5F0727C8"/>
    <w:rsid w:val="5F137ABE"/>
    <w:rsid w:val="5F6A320D"/>
    <w:rsid w:val="5F7C30F5"/>
    <w:rsid w:val="5F81736D"/>
    <w:rsid w:val="5F984C73"/>
    <w:rsid w:val="5FBB33EF"/>
    <w:rsid w:val="5FE93358"/>
    <w:rsid w:val="602555C8"/>
    <w:rsid w:val="60302DD2"/>
    <w:rsid w:val="604F74E0"/>
    <w:rsid w:val="605A1926"/>
    <w:rsid w:val="605F1395"/>
    <w:rsid w:val="607D18A8"/>
    <w:rsid w:val="6082785F"/>
    <w:rsid w:val="608F7B10"/>
    <w:rsid w:val="60917844"/>
    <w:rsid w:val="60BF389C"/>
    <w:rsid w:val="60E05370"/>
    <w:rsid w:val="60F3287D"/>
    <w:rsid w:val="6101382B"/>
    <w:rsid w:val="61281A2A"/>
    <w:rsid w:val="61341985"/>
    <w:rsid w:val="6138072E"/>
    <w:rsid w:val="61797210"/>
    <w:rsid w:val="61863E87"/>
    <w:rsid w:val="61A71155"/>
    <w:rsid w:val="61AF3390"/>
    <w:rsid w:val="61EE1936"/>
    <w:rsid w:val="620640E0"/>
    <w:rsid w:val="622158F4"/>
    <w:rsid w:val="6222564E"/>
    <w:rsid w:val="622F2B86"/>
    <w:rsid w:val="62400050"/>
    <w:rsid w:val="626B6AB1"/>
    <w:rsid w:val="627F39F1"/>
    <w:rsid w:val="628D366A"/>
    <w:rsid w:val="628D4327"/>
    <w:rsid w:val="629517CD"/>
    <w:rsid w:val="62A77B48"/>
    <w:rsid w:val="62AA5EE3"/>
    <w:rsid w:val="63002BF3"/>
    <w:rsid w:val="63004CF9"/>
    <w:rsid w:val="630F4FEE"/>
    <w:rsid w:val="63122176"/>
    <w:rsid w:val="63524081"/>
    <w:rsid w:val="63766477"/>
    <w:rsid w:val="63A2122B"/>
    <w:rsid w:val="63D719F7"/>
    <w:rsid w:val="63E23CE1"/>
    <w:rsid w:val="63EB77D0"/>
    <w:rsid w:val="63F301E8"/>
    <w:rsid w:val="64003719"/>
    <w:rsid w:val="642B137C"/>
    <w:rsid w:val="64421116"/>
    <w:rsid w:val="646C50E6"/>
    <w:rsid w:val="648A6C65"/>
    <w:rsid w:val="64B07993"/>
    <w:rsid w:val="64ED7698"/>
    <w:rsid w:val="652A77DC"/>
    <w:rsid w:val="652D4EDE"/>
    <w:rsid w:val="653864BC"/>
    <w:rsid w:val="6539785D"/>
    <w:rsid w:val="653F2C3A"/>
    <w:rsid w:val="65482DD9"/>
    <w:rsid w:val="65487907"/>
    <w:rsid w:val="65510DD5"/>
    <w:rsid w:val="6555377E"/>
    <w:rsid w:val="6566496F"/>
    <w:rsid w:val="657F1E0B"/>
    <w:rsid w:val="658557C9"/>
    <w:rsid w:val="65B5427D"/>
    <w:rsid w:val="65BA1648"/>
    <w:rsid w:val="65D40BAA"/>
    <w:rsid w:val="66003F2E"/>
    <w:rsid w:val="660E3CAD"/>
    <w:rsid w:val="661A68F1"/>
    <w:rsid w:val="664250C5"/>
    <w:rsid w:val="665C1F02"/>
    <w:rsid w:val="666019C9"/>
    <w:rsid w:val="666552BE"/>
    <w:rsid w:val="66696AE2"/>
    <w:rsid w:val="66835451"/>
    <w:rsid w:val="66970371"/>
    <w:rsid w:val="669F7C2C"/>
    <w:rsid w:val="66B44B35"/>
    <w:rsid w:val="66BA6037"/>
    <w:rsid w:val="66C13FEB"/>
    <w:rsid w:val="66C344FC"/>
    <w:rsid w:val="66D60106"/>
    <w:rsid w:val="66F73D7D"/>
    <w:rsid w:val="66F9681F"/>
    <w:rsid w:val="670D1567"/>
    <w:rsid w:val="67136A6F"/>
    <w:rsid w:val="67374678"/>
    <w:rsid w:val="673E19F8"/>
    <w:rsid w:val="67583028"/>
    <w:rsid w:val="678652C4"/>
    <w:rsid w:val="67C660AB"/>
    <w:rsid w:val="67D3015D"/>
    <w:rsid w:val="680B234C"/>
    <w:rsid w:val="681B1687"/>
    <w:rsid w:val="681C1A48"/>
    <w:rsid w:val="682868C6"/>
    <w:rsid w:val="682B635B"/>
    <w:rsid w:val="68431C4B"/>
    <w:rsid w:val="684C6509"/>
    <w:rsid w:val="686F7E7F"/>
    <w:rsid w:val="68B2491E"/>
    <w:rsid w:val="68CE1F82"/>
    <w:rsid w:val="68E77BFF"/>
    <w:rsid w:val="691C5D7B"/>
    <w:rsid w:val="69371304"/>
    <w:rsid w:val="694F3998"/>
    <w:rsid w:val="69512DDB"/>
    <w:rsid w:val="695A6FEF"/>
    <w:rsid w:val="69966AB6"/>
    <w:rsid w:val="699965E7"/>
    <w:rsid w:val="69B57350"/>
    <w:rsid w:val="69DC40EB"/>
    <w:rsid w:val="69E125FE"/>
    <w:rsid w:val="69FA17D9"/>
    <w:rsid w:val="6A1A1518"/>
    <w:rsid w:val="6A233935"/>
    <w:rsid w:val="6A2564BD"/>
    <w:rsid w:val="6A2B32A9"/>
    <w:rsid w:val="6A3C0E6E"/>
    <w:rsid w:val="6A5A5420"/>
    <w:rsid w:val="6AB6209A"/>
    <w:rsid w:val="6AC6795A"/>
    <w:rsid w:val="6AD478C6"/>
    <w:rsid w:val="6B345ED2"/>
    <w:rsid w:val="6B460E45"/>
    <w:rsid w:val="6B4E2F69"/>
    <w:rsid w:val="6B4E5C70"/>
    <w:rsid w:val="6B571949"/>
    <w:rsid w:val="6B847BE9"/>
    <w:rsid w:val="6B8B57CE"/>
    <w:rsid w:val="6B8C1A4A"/>
    <w:rsid w:val="6B9B6ECC"/>
    <w:rsid w:val="6BAD0790"/>
    <w:rsid w:val="6BE731C8"/>
    <w:rsid w:val="6BF87B83"/>
    <w:rsid w:val="6C087B05"/>
    <w:rsid w:val="6C33763C"/>
    <w:rsid w:val="6C446116"/>
    <w:rsid w:val="6C817B9F"/>
    <w:rsid w:val="6C99093A"/>
    <w:rsid w:val="6C991102"/>
    <w:rsid w:val="6C9D48A7"/>
    <w:rsid w:val="6CDD1EF7"/>
    <w:rsid w:val="6D19451D"/>
    <w:rsid w:val="6D2921E8"/>
    <w:rsid w:val="6D2F6BA7"/>
    <w:rsid w:val="6D357C8F"/>
    <w:rsid w:val="6D641E05"/>
    <w:rsid w:val="6D8057E9"/>
    <w:rsid w:val="6D8F3F89"/>
    <w:rsid w:val="6DB860E8"/>
    <w:rsid w:val="6DE01857"/>
    <w:rsid w:val="6DEA3E73"/>
    <w:rsid w:val="6DFB2443"/>
    <w:rsid w:val="6E0A4F68"/>
    <w:rsid w:val="6E26753D"/>
    <w:rsid w:val="6E307405"/>
    <w:rsid w:val="6E3B2E96"/>
    <w:rsid w:val="6E423E1E"/>
    <w:rsid w:val="6E705D01"/>
    <w:rsid w:val="6E8042BE"/>
    <w:rsid w:val="6E8F57C0"/>
    <w:rsid w:val="6EBB734C"/>
    <w:rsid w:val="6EBC6DC6"/>
    <w:rsid w:val="6EC1179B"/>
    <w:rsid w:val="6EDF64CC"/>
    <w:rsid w:val="6EEC7C6D"/>
    <w:rsid w:val="6EF43C6A"/>
    <w:rsid w:val="6F05616C"/>
    <w:rsid w:val="6F08598B"/>
    <w:rsid w:val="6F174D67"/>
    <w:rsid w:val="6F190F4B"/>
    <w:rsid w:val="6F1D6755"/>
    <w:rsid w:val="6F1E683B"/>
    <w:rsid w:val="6F316B45"/>
    <w:rsid w:val="6F505712"/>
    <w:rsid w:val="6F53500E"/>
    <w:rsid w:val="6F5F2C16"/>
    <w:rsid w:val="6F7B709B"/>
    <w:rsid w:val="6F7C176F"/>
    <w:rsid w:val="6F870957"/>
    <w:rsid w:val="6FA62D83"/>
    <w:rsid w:val="6FBC72DB"/>
    <w:rsid w:val="6FC90E2C"/>
    <w:rsid w:val="6FD94E62"/>
    <w:rsid w:val="70233787"/>
    <w:rsid w:val="70A6157F"/>
    <w:rsid w:val="70D10086"/>
    <w:rsid w:val="70FB0EC8"/>
    <w:rsid w:val="71470320"/>
    <w:rsid w:val="71551708"/>
    <w:rsid w:val="715619A5"/>
    <w:rsid w:val="7174616F"/>
    <w:rsid w:val="718E5090"/>
    <w:rsid w:val="71B52523"/>
    <w:rsid w:val="71D0314A"/>
    <w:rsid w:val="71D84823"/>
    <w:rsid w:val="71E62826"/>
    <w:rsid w:val="72030269"/>
    <w:rsid w:val="722F0965"/>
    <w:rsid w:val="72384717"/>
    <w:rsid w:val="724A3FBE"/>
    <w:rsid w:val="72595FD9"/>
    <w:rsid w:val="72903C3A"/>
    <w:rsid w:val="72A154B4"/>
    <w:rsid w:val="72C1448C"/>
    <w:rsid w:val="72D0449F"/>
    <w:rsid w:val="72EB773E"/>
    <w:rsid w:val="72EC6BE0"/>
    <w:rsid w:val="72FE5E54"/>
    <w:rsid w:val="732560BC"/>
    <w:rsid w:val="735C5FC7"/>
    <w:rsid w:val="73620445"/>
    <w:rsid w:val="7366026F"/>
    <w:rsid w:val="737733EA"/>
    <w:rsid w:val="73AE3614"/>
    <w:rsid w:val="73BC2AC1"/>
    <w:rsid w:val="73CA237B"/>
    <w:rsid w:val="73EE1CD9"/>
    <w:rsid w:val="740E24AC"/>
    <w:rsid w:val="741803C8"/>
    <w:rsid w:val="7418425F"/>
    <w:rsid w:val="7424194B"/>
    <w:rsid w:val="742E7728"/>
    <w:rsid w:val="74512469"/>
    <w:rsid w:val="74550441"/>
    <w:rsid w:val="747839DD"/>
    <w:rsid w:val="747A53A7"/>
    <w:rsid w:val="747D3E3B"/>
    <w:rsid w:val="74A57CFB"/>
    <w:rsid w:val="74BC5055"/>
    <w:rsid w:val="74C770E3"/>
    <w:rsid w:val="74CC10AD"/>
    <w:rsid w:val="74ED71A1"/>
    <w:rsid w:val="75251DF3"/>
    <w:rsid w:val="754372E6"/>
    <w:rsid w:val="7563508F"/>
    <w:rsid w:val="75647886"/>
    <w:rsid w:val="759E6EED"/>
    <w:rsid w:val="75AE4BD0"/>
    <w:rsid w:val="75E178B3"/>
    <w:rsid w:val="75F837A5"/>
    <w:rsid w:val="76011FF4"/>
    <w:rsid w:val="7602508F"/>
    <w:rsid w:val="764223DA"/>
    <w:rsid w:val="7660510E"/>
    <w:rsid w:val="767A1799"/>
    <w:rsid w:val="767F38B7"/>
    <w:rsid w:val="7683103B"/>
    <w:rsid w:val="76852819"/>
    <w:rsid w:val="76B7045C"/>
    <w:rsid w:val="76D01613"/>
    <w:rsid w:val="770349AA"/>
    <w:rsid w:val="77185C9F"/>
    <w:rsid w:val="77614F4B"/>
    <w:rsid w:val="7761668C"/>
    <w:rsid w:val="7776675B"/>
    <w:rsid w:val="779B3173"/>
    <w:rsid w:val="77A0691B"/>
    <w:rsid w:val="77AF750F"/>
    <w:rsid w:val="77B47167"/>
    <w:rsid w:val="77BC2CFD"/>
    <w:rsid w:val="77CD2977"/>
    <w:rsid w:val="78071363"/>
    <w:rsid w:val="780D73AA"/>
    <w:rsid w:val="780E6B0B"/>
    <w:rsid w:val="782E427F"/>
    <w:rsid w:val="78630F8F"/>
    <w:rsid w:val="788D10DE"/>
    <w:rsid w:val="78A3621C"/>
    <w:rsid w:val="78B5305F"/>
    <w:rsid w:val="78C439BE"/>
    <w:rsid w:val="791B49B8"/>
    <w:rsid w:val="793E606B"/>
    <w:rsid w:val="7947342B"/>
    <w:rsid w:val="79614FCF"/>
    <w:rsid w:val="79663BCA"/>
    <w:rsid w:val="796D7CD7"/>
    <w:rsid w:val="79852E89"/>
    <w:rsid w:val="799074D0"/>
    <w:rsid w:val="799B3AB6"/>
    <w:rsid w:val="79D937E3"/>
    <w:rsid w:val="79E832BA"/>
    <w:rsid w:val="79F53CFA"/>
    <w:rsid w:val="79FD6555"/>
    <w:rsid w:val="7A006DFD"/>
    <w:rsid w:val="7A1C6817"/>
    <w:rsid w:val="7A1F2819"/>
    <w:rsid w:val="7A3166E4"/>
    <w:rsid w:val="7A647434"/>
    <w:rsid w:val="7A714144"/>
    <w:rsid w:val="7A827750"/>
    <w:rsid w:val="7AA5740B"/>
    <w:rsid w:val="7AF025EC"/>
    <w:rsid w:val="7AF70599"/>
    <w:rsid w:val="7AFC5FCD"/>
    <w:rsid w:val="7AFF751A"/>
    <w:rsid w:val="7B0A462E"/>
    <w:rsid w:val="7B35139A"/>
    <w:rsid w:val="7B361882"/>
    <w:rsid w:val="7B447967"/>
    <w:rsid w:val="7B583D97"/>
    <w:rsid w:val="7BC974D1"/>
    <w:rsid w:val="7BE643FB"/>
    <w:rsid w:val="7C416168"/>
    <w:rsid w:val="7C537294"/>
    <w:rsid w:val="7C5819D2"/>
    <w:rsid w:val="7C651CA7"/>
    <w:rsid w:val="7C7812EA"/>
    <w:rsid w:val="7C8D7203"/>
    <w:rsid w:val="7C9619C8"/>
    <w:rsid w:val="7CAB32B3"/>
    <w:rsid w:val="7CF40C15"/>
    <w:rsid w:val="7CF57695"/>
    <w:rsid w:val="7D095A20"/>
    <w:rsid w:val="7D435FDE"/>
    <w:rsid w:val="7D62358F"/>
    <w:rsid w:val="7D6F525D"/>
    <w:rsid w:val="7D8076BC"/>
    <w:rsid w:val="7DA16271"/>
    <w:rsid w:val="7E123EFC"/>
    <w:rsid w:val="7E190DDC"/>
    <w:rsid w:val="7E1A345C"/>
    <w:rsid w:val="7E2C6BFF"/>
    <w:rsid w:val="7E352DF5"/>
    <w:rsid w:val="7E374A45"/>
    <w:rsid w:val="7E3F156F"/>
    <w:rsid w:val="7E4058BA"/>
    <w:rsid w:val="7E425F67"/>
    <w:rsid w:val="7E504156"/>
    <w:rsid w:val="7E526DD6"/>
    <w:rsid w:val="7E602B12"/>
    <w:rsid w:val="7E8A206E"/>
    <w:rsid w:val="7EF20778"/>
    <w:rsid w:val="7F125F7A"/>
    <w:rsid w:val="7F1B6CAD"/>
    <w:rsid w:val="7F212211"/>
    <w:rsid w:val="7F305E0B"/>
    <w:rsid w:val="7F492787"/>
    <w:rsid w:val="7F60619B"/>
    <w:rsid w:val="7F690506"/>
    <w:rsid w:val="7F6A41D8"/>
    <w:rsid w:val="7FAB6725"/>
    <w:rsid w:val="7FCB2BBC"/>
    <w:rsid w:val="7FCB6D0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name="heading 4"/>
    <w:lsdException w:qFormat="1" w:uiPriority="0" w:name="heading 5"/>
    <w:lsdException w:qFormat="1" w:unhideWhenUsed="0" w:uiPriority="0" w:semiHidden="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nhideWhenUsed="0" w:uiPriority="0" w:semiHidden="0" w:name="Normal (Web)"/>
    <w:lsdException w:qFormat="1" w:unhideWhenUsed="0" w:uiPriority="0" w:semiHidden="0" w:name="HTML Acronym"/>
    <w:lsdException w:unhideWhenUsed="0" w:uiPriority="0" w:semiHidden="0" w:name="HTML Address"/>
    <w:lsdException w:qFormat="1" w:unhideWhenUsed="0" w:uiPriority="0" w:semiHidden="0" w:name="HTML Cite"/>
    <w:lsdException w:qFormat="1" w:unhideWhenUsed="0" w:uiPriority="0" w:semiHidden="0" w:name="HTML Code"/>
    <w:lsdException w:qFormat="1" w:unhideWhenUsed="0" w:uiPriority="0" w:semiHidden="0" w:name="HTML Definition"/>
    <w:lsdException w:qFormat="1" w:unhideWhenUsed="0" w:uiPriority="0" w:semiHidden="0" w:name="HTML Keyboard"/>
    <w:lsdException w:unhideWhenUsed="0" w:uiPriority="0" w:semiHidden="0" w:name="HTML Preformatted"/>
    <w:lsdException w:qFormat="1" w:unhideWhenUsed="0" w:uiPriority="0" w:semiHidden="0" w:name="HTML Sample"/>
    <w:lsdException w:unhideWhenUsed="0" w:uiPriority="0" w:semiHidden="0" w:name="HTML Typewriter"/>
    <w:lsdException w:qFormat="1"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qFormat/>
    <w:uiPriority w:val="0"/>
    <w:pPr>
      <w:keepNext/>
      <w:keepLines/>
      <w:spacing w:before="340" w:after="330" w:line="576" w:lineRule="auto"/>
      <w:outlineLvl w:val="0"/>
    </w:pPr>
    <w:rPr>
      <w:b/>
      <w:kern w:val="44"/>
      <w:sz w:val="44"/>
    </w:rPr>
  </w:style>
  <w:style w:type="paragraph" w:styleId="5">
    <w:name w:val="heading 2"/>
    <w:basedOn w:val="1"/>
    <w:next w:val="1"/>
    <w:unhideWhenUsed/>
    <w:qFormat/>
    <w:uiPriority w:val="0"/>
    <w:pPr>
      <w:spacing w:beforeAutospacing="1" w:afterAutospacing="1"/>
      <w:jc w:val="left"/>
      <w:outlineLvl w:val="1"/>
    </w:pPr>
    <w:rPr>
      <w:rFonts w:hint="eastAsia" w:ascii="宋体" w:hAnsi="宋体"/>
      <w:b/>
      <w:kern w:val="0"/>
      <w:sz w:val="24"/>
    </w:rPr>
  </w:style>
  <w:style w:type="paragraph" w:styleId="6">
    <w:name w:val="heading 3"/>
    <w:basedOn w:val="1"/>
    <w:next w:val="1"/>
    <w:unhideWhenUsed/>
    <w:qFormat/>
    <w:uiPriority w:val="0"/>
    <w:pPr>
      <w:spacing w:beforeAutospacing="1" w:afterAutospacing="1"/>
      <w:jc w:val="left"/>
      <w:outlineLvl w:val="2"/>
    </w:pPr>
    <w:rPr>
      <w:rFonts w:hint="eastAsia" w:ascii="宋体" w:hAnsi="宋体"/>
      <w:b/>
      <w:kern w:val="0"/>
      <w:sz w:val="24"/>
    </w:rPr>
  </w:style>
  <w:style w:type="paragraph" w:styleId="7">
    <w:name w:val="heading 6"/>
    <w:basedOn w:val="1"/>
    <w:next w:val="1"/>
    <w:qFormat/>
    <w:uiPriority w:val="0"/>
    <w:pPr>
      <w:keepNext/>
      <w:keepLines/>
      <w:spacing w:before="240" w:after="64" w:line="320" w:lineRule="auto"/>
      <w:outlineLvl w:val="5"/>
    </w:pPr>
    <w:rPr>
      <w:rFonts w:ascii="Arial" w:hAnsi="Arial" w:eastAsia="黑体"/>
      <w:b/>
      <w:bCs/>
      <w:sz w:val="24"/>
    </w:rPr>
  </w:style>
  <w:style w:type="character" w:default="1" w:styleId="19">
    <w:name w:val="Default Paragraph Font"/>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2">
    <w:name w:val="Body Text First Indent"/>
    <w:basedOn w:val="3"/>
    <w:link w:val="43"/>
    <w:qFormat/>
    <w:uiPriority w:val="0"/>
    <w:pPr>
      <w:ind w:firstLine="420" w:firstLineChars="100"/>
    </w:pPr>
    <w:rPr>
      <w:bCs/>
      <w:sz w:val="28"/>
    </w:rPr>
  </w:style>
  <w:style w:type="paragraph" w:styleId="3">
    <w:name w:val="Body Text"/>
    <w:basedOn w:val="1"/>
    <w:link w:val="42"/>
    <w:qFormat/>
    <w:uiPriority w:val="0"/>
    <w:pPr>
      <w:spacing w:after="120"/>
    </w:pPr>
  </w:style>
  <w:style w:type="paragraph" w:styleId="8">
    <w:name w:val="annotation text"/>
    <w:basedOn w:val="1"/>
    <w:link w:val="40"/>
    <w:qFormat/>
    <w:uiPriority w:val="0"/>
    <w:pPr>
      <w:jc w:val="left"/>
    </w:pPr>
  </w:style>
  <w:style w:type="paragraph" w:styleId="9">
    <w:name w:val="Plain Text"/>
    <w:basedOn w:val="1"/>
    <w:qFormat/>
    <w:uiPriority w:val="0"/>
    <w:rPr>
      <w:rFonts w:ascii="宋体" w:hAnsi="Courier New" w:cs="Courier New"/>
      <w:szCs w:val="21"/>
    </w:rPr>
  </w:style>
  <w:style w:type="paragraph" w:styleId="10">
    <w:name w:val="Balloon Text"/>
    <w:basedOn w:val="1"/>
    <w:link w:val="39"/>
    <w:qFormat/>
    <w:uiPriority w:val="0"/>
    <w:rPr>
      <w:sz w:val="18"/>
      <w:szCs w:val="18"/>
    </w:rPr>
  </w:style>
  <w:style w:type="paragraph" w:styleId="11">
    <w:name w:val="footer"/>
    <w:basedOn w:val="1"/>
    <w:qFormat/>
    <w:uiPriority w:val="0"/>
    <w:pPr>
      <w:tabs>
        <w:tab w:val="center" w:pos="4153"/>
        <w:tab w:val="right" w:pos="8306"/>
      </w:tabs>
      <w:snapToGrid w:val="0"/>
      <w:jc w:val="left"/>
    </w:pPr>
    <w:rPr>
      <w:sz w:val="18"/>
      <w:szCs w:val="18"/>
    </w:rPr>
  </w:style>
  <w:style w:type="paragraph" w:styleId="12">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3">
    <w:name w:val="toc 1"/>
    <w:basedOn w:val="1"/>
    <w:next w:val="1"/>
    <w:qFormat/>
    <w:uiPriority w:val="0"/>
  </w:style>
  <w:style w:type="paragraph" w:styleId="14">
    <w:name w:val="toc 2"/>
    <w:basedOn w:val="1"/>
    <w:next w:val="1"/>
    <w:qFormat/>
    <w:uiPriority w:val="0"/>
    <w:pPr>
      <w:ind w:left="420"/>
    </w:pPr>
  </w:style>
  <w:style w:type="paragraph" w:styleId="15">
    <w:name w:val="Normal (Web)"/>
    <w:basedOn w:val="1"/>
    <w:qFormat/>
    <w:uiPriority w:val="0"/>
    <w:pPr>
      <w:spacing w:beforeAutospacing="1" w:afterAutospacing="1"/>
      <w:jc w:val="left"/>
    </w:pPr>
    <w:rPr>
      <w:kern w:val="0"/>
      <w:sz w:val="24"/>
    </w:rPr>
  </w:style>
  <w:style w:type="paragraph" w:styleId="16">
    <w:name w:val="annotation subject"/>
    <w:basedOn w:val="8"/>
    <w:next w:val="8"/>
    <w:link w:val="41"/>
    <w:qFormat/>
    <w:uiPriority w:val="0"/>
    <w:rPr>
      <w:b/>
      <w:bCs/>
    </w:rPr>
  </w:style>
  <w:style w:type="table" w:styleId="18">
    <w:name w:val="Table Grid"/>
    <w:basedOn w:val="17"/>
    <w:qFormat/>
    <w:uiPriority w:val="0"/>
    <w:pPr>
      <w:widowControl w:val="0"/>
      <w:jc w:val="both"/>
    </w:pPr>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0">
    <w:name w:val="Strong"/>
    <w:basedOn w:val="19"/>
    <w:qFormat/>
    <w:uiPriority w:val="0"/>
    <w:rPr>
      <w:b/>
    </w:rPr>
  </w:style>
  <w:style w:type="character" w:styleId="21">
    <w:name w:val="FollowedHyperlink"/>
    <w:basedOn w:val="19"/>
    <w:qFormat/>
    <w:uiPriority w:val="0"/>
    <w:rPr>
      <w:color w:val="333333"/>
      <w:u w:val="none"/>
    </w:rPr>
  </w:style>
  <w:style w:type="character" w:styleId="22">
    <w:name w:val="Emphasis"/>
    <w:basedOn w:val="19"/>
    <w:qFormat/>
    <w:uiPriority w:val="0"/>
  </w:style>
  <w:style w:type="character" w:styleId="23">
    <w:name w:val="HTML Definition"/>
    <w:basedOn w:val="19"/>
    <w:qFormat/>
    <w:uiPriority w:val="0"/>
  </w:style>
  <w:style w:type="character" w:styleId="24">
    <w:name w:val="HTML Acronym"/>
    <w:basedOn w:val="19"/>
    <w:qFormat/>
    <w:uiPriority w:val="0"/>
  </w:style>
  <w:style w:type="character" w:styleId="25">
    <w:name w:val="HTML Variable"/>
    <w:basedOn w:val="19"/>
    <w:qFormat/>
    <w:uiPriority w:val="0"/>
  </w:style>
  <w:style w:type="character" w:styleId="26">
    <w:name w:val="Hyperlink"/>
    <w:basedOn w:val="19"/>
    <w:qFormat/>
    <w:uiPriority w:val="0"/>
    <w:rPr>
      <w:color w:val="333333"/>
      <w:u w:val="none"/>
    </w:rPr>
  </w:style>
  <w:style w:type="character" w:styleId="27">
    <w:name w:val="HTML Code"/>
    <w:basedOn w:val="19"/>
    <w:qFormat/>
    <w:uiPriority w:val="0"/>
    <w:rPr>
      <w:rFonts w:hint="default" w:ascii="Consolas" w:hAnsi="Consolas" w:eastAsia="Consolas" w:cs="Consolas"/>
      <w:color w:val="C7254E"/>
      <w:sz w:val="21"/>
      <w:szCs w:val="21"/>
      <w:shd w:val="clear" w:color="auto" w:fill="F9F2F4"/>
    </w:rPr>
  </w:style>
  <w:style w:type="character" w:styleId="28">
    <w:name w:val="annotation reference"/>
    <w:basedOn w:val="19"/>
    <w:qFormat/>
    <w:uiPriority w:val="0"/>
    <w:rPr>
      <w:sz w:val="21"/>
      <w:szCs w:val="21"/>
    </w:rPr>
  </w:style>
  <w:style w:type="character" w:styleId="29">
    <w:name w:val="HTML Cite"/>
    <w:basedOn w:val="19"/>
    <w:qFormat/>
    <w:uiPriority w:val="0"/>
  </w:style>
  <w:style w:type="character" w:styleId="30">
    <w:name w:val="HTML Keyboard"/>
    <w:basedOn w:val="19"/>
    <w:qFormat/>
    <w:uiPriority w:val="0"/>
    <w:rPr>
      <w:rFonts w:ascii="Consolas" w:hAnsi="Consolas" w:eastAsia="Consolas" w:cs="Consolas"/>
      <w:color w:val="FFFFFF"/>
      <w:sz w:val="21"/>
      <w:szCs w:val="21"/>
      <w:shd w:val="clear" w:color="auto" w:fill="333333"/>
    </w:rPr>
  </w:style>
  <w:style w:type="character" w:styleId="31">
    <w:name w:val="HTML Sample"/>
    <w:basedOn w:val="19"/>
    <w:qFormat/>
    <w:uiPriority w:val="0"/>
    <w:rPr>
      <w:rFonts w:hint="default" w:ascii="Consolas" w:hAnsi="Consolas" w:eastAsia="Consolas" w:cs="Consolas"/>
      <w:sz w:val="21"/>
      <w:szCs w:val="21"/>
    </w:rPr>
  </w:style>
  <w:style w:type="paragraph" w:customStyle="1" w:styleId="32">
    <w:name w:val="Char Char16 Char Char Char Char Char Char"/>
    <w:basedOn w:val="7"/>
    <w:qFormat/>
    <w:uiPriority w:val="0"/>
    <w:pPr>
      <w:tabs>
        <w:tab w:val="left" w:pos="1440"/>
      </w:tabs>
    </w:pPr>
  </w:style>
  <w:style w:type="character" w:customStyle="1" w:styleId="33">
    <w:name w:val="wx-space"/>
    <w:basedOn w:val="19"/>
    <w:qFormat/>
    <w:uiPriority w:val="0"/>
  </w:style>
  <w:style w:type="character" w:customStyle="1" w:styleId="34">
    <w:name w:val="wx-space1"/>
    <w:basedOn w:val="19"/>
    <w:qFormat/>
    <w:uiPriority w:val="0"/>
  </w:style>
  <w:style w:type="character" w:customStyle="1" w:styleId="35">
    <w:name w:val="hover11"/>
    <w:basedOn w:val="19"/>
    <w:qFormat/>
    <w:uiPriority w:val="0"/>
    <w:rPr>
      <w:color w:val="000000"/>
      <w:shd w:val="clear" w:color="auto" w:fill="FFFFFF"/>
    </w:rPr>
  </w:style>
  <w:style w:type="table" w:customStyle="1" w:styleId="36">
    <w:name w:val="Table Normal"/>
    <w:semiHidden/>
    <w:unhideWhenUsed/>
    <w:qFormat/>
    <w:uiPriority w:val="2"/>
    <w:pPr>
      <w:widowControl w:val="0"/>
      <w:autoSpaceDE w:val="0"/>
      <w:autoSpaceDN w:val="0"/>
    </w:pPr>
    <w:rPr>
      <w:sz w:val="22"/>
      <w:lang w:eastAsia="en-US"/>
    </w:rPr>
    <w:tblPr>
      <w:tblCellMar>
        <w:top w:w="0" w:type="dxa"/>
        <w:left w:w="0" w:type="dxa"/>
        <w:bottom w:w="0" w:type="dxa"/>
        <w:right w:w="0" w:type="dxa"/>
      </w:tblCellMar>
    </w:tblPr>
  </w:style>
  <w:style w:type="character" w:customStyle="1" w:styleId="37">
    <w:name w:val="font11"/>
    <w:basedOn w:val="19"/>
    <w:qFormat/>
    <w:uiPriority w:val="0"/>
    <w:rPr>
      <w:rFonts w:hint="eastAsia" w:ascii="宋体" w:hAnsi="宋体" w:eastAsia="宋体" w:cs="宋体"/>
      <w:color w:val="000000"/>
      <w:sz w:val="24"/>
      <w:szCs w:val="24"/>
      <w:u w:val="none"/>
    </w:rPr>
  </w:style>
  <w:style w:type="character" w:customStyle="1" w:styleId="38">
    <w:name w:val="font01"/>
    <w:basedOn w:val="19"/>
    <w:qFormat/>
    <w:uiPriority w:val="0"/>
    <w:rPr>
      <w:rFonts w:hint="default" w:ascii="Times New Roman" w:hAnsi="Times New Roman" w:cs="Times New Roman"/>
      <w:color w:val="000000"/>
      <w:sz w:val="24"/>
      <w:szCs w:val="24"/>
      <w:u w:val="none"/>
    </w:rPr>
  </w:style>
  <w:style w:type="character" w:customStyle="1" w:styleId="39">
    <w:name w:val="批注框文本 Char"/>
    <w:basedOn w:val="19"/>
    <w:link w:val="10"/>
    <w:qFormat/>
    <w:uiPriority w:val="0"/>
    <w:rPr>
      <w:kern w:val="2"/>
      <w:sz w:val="18"/>
      <w:szCs w:val="18"/>
    </w:rPr>
  </w:style>
  <w:style w:type="character" w:customStyle="1" w:styleId="40">
    <w:name w:val="批注文字 Char"/>
    <w:basedOn w:val="19"/>
    <w:link w:val="8"/>
    <w:qFormat/>
    <w:uiPriority w:val="0"/>
    <w:rPr>
      <w:kern w:val="2"/>
      <w:sz w:val="21"/>
      <w:szCs w:val="24"/>
    </w:rPr>
  </w:style>
  <w:style w:type="character" w:customStyle="1" w:styleId="41">
    <w:name w:val="批注主题 Char"/>
    <w:basedOn w:val="40"/>
    <w:link w:val="16"/>
    <w:qFormat/>
    <w:uiPriority w:val="0"/>
    <w:rPr>
      <w:b/>
      <w:bCs/>
      <w:kern w:val="2"/>
      <w:sz w:val="21"/>
      <w:szCs w:val="24"/>
    </w:rPr>
  </w:style>
  <w:style w:type="character" w:customStyle="1" w:styleId="42">
    <w:name w:val="正文文本 Char"/>
    <w:basedOn w:val="19"/>
    <w:link w:val="3"/>
    <w:qFormat/>
    <w:uiPriority w:val="0"/>
    <w:rPr>
      <w:kern w:val="2"/>
      <w:sz w:val="21"/>
      <w:szCs w:val="24"/>
    </w:rPr>
  </w:style>
  <w:style w:type="character" w:customStyle="1" w:styleId="43">
    <w:name w:val="正文首行缩进 Char"/>
    <w:basedOn w:val="42"/>
    <w:link w:val="2"/>
    <w:qFormat/>
    <w:uiPriority w:val="0"/>
    <w:rPr>
      <w:kern w:val="2"/>
      <w:sz w:val="21"/>
      <w:szCs w:val="24"/>
    </w:rPr>
  </w:style>
  <w:style w:type="paragraph" w:styleId="44">
    <w:name w:val="List Paragraph"/>
    <w:basedOn w:val="1"/>
    <w:unhideWhenUsed/>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customXml" Target="../customXml/item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B98286E-C7C1-4D2C-8A04-A00AC91C7168}">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62</Pages>
  <Words>5358</Words>
  <Characters>30543</Characters>
  <Lines>254</Lines>
  <Paragraphs>71</Paragraphs>
  <TotalTime>2</TotalTime>
  <ScaleCrop>false</ScaleCrop>
  <LinksUpToDate>false</LinksUpToDate>
  <CharactersWithSpaces>35830</CharactersWithSpaces>
  <Application>WPS Office_11.1.0.9912_F1E327BC-269C-435d-A152-05C5408002CA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2019-12-12T00:50:00Z</dcterms:created>
  <dc:creator>Administrator</dc:creator>
  <cp:lastModifiedBy>Administrator</cp:lastModifiedBy>
  <cp:lastPrinted>2020-08-10T02:43:00Z</cp:lastPrinted>
  <dcterms:modified xsi:type="dcterms:W3CDTF">2020-09-07T08:40:55Z</dcterms:modified>
  <cp:revision>20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2052-11.1.0.9912</vt:lpwstr>
  </property>
</Properties>
</file>