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rPr>
          <w:rFonts w:hint="eastAsia"/>
        </w:rPr>
      </w:pPr>
    </w:p>
    <w:p>
      <w:pPr>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2"/>
        <w:rPr>
          <w:rFonts w:hint="eastAsia"/>
        </w:rPr>
      </w:pPr>
    </w:p>
    <w:p>
      <w:pPr>
        <w:spacing w:line="240" w:lineRule="atLeast"/>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衡</w:t>
      </w:r>
      <w:r>
        <w:rPr>
          <w:rFonts w:hint="eastAsia" w:ascii="仿宋" w:hAnsi="仿宋" w:eastAsia="仿宋" w:cs="仿宋"/>
          <w:b w:val="0"/>
          <w:bCs/>
          <w:sz w:val="32"/>
          <w:szCs w:val="32"/>
        </w:rPr>
        <w:t>环耒</w:t>
      </w:r>
      <w:r>
        <w:rPr>
          <w:rFonts w:hint="eastAsia" w:ascii="仿宋" w:hAnsi="仿宋" w:eastAsia="仿宋" w:cs="仿宋"/>
          <w:b w:val="0"/>
          <w:bCs/>
          <w:color w:val="auto"/>
          <w:sz w:val="32"/>
          <w:szCs w:val="32"/>
        </w:rPr>
        <w:t>评</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2024</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eastAsia="仿宋_GB2312"/>
          <w:color w:val="000000" w:themeColor="text1"/>
          <w:sz w:val="15"/>
          <w:szCs w:val="15"/>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lang w:val="en-US" w:eastAsia="zh-CN"/>
        </w:rPr>
        <w:t>关于《耒阳市国展高级中学项目环境影响报告表》</w:t>
      </w:r>
      <w:r>
        <w:rPr>
          <w:rFonts w:hint="eastAsia" w:ascii="方正公文小标宋" w:hAnsi="方正公文小标宋" w:eastAsia="方正公文小标宋" w:cs="方正公文小标宋"/>
          <w:b w:val="0"/>
          <w:bCs w:val="0"/>
          <w:sz w:val="44"/>
          <w:szCs w:val="44"/>
        </w:rPr>
        <w:t>的审批意见</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公文小标宋" w:hAnsi="方正公文小标宋" w:eastAsia="方正公文小标宋" w:cs="方正公文小标宋"/>
          <w:b w:val="0"/>
          <w:bCs w:val="0"/>
          <w:sz w:val="44"/>
          <w:szCs w:val="44"/>
          <w:lang w:val="en-US" w:eastAsia="zh-CN"/>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20" w:lineRule="exact"/>
        <w:jc w:val="left"/>
        <w:textAlignment w:val="auto"/>
        <w:rPr>
          <w:rFonts w:hint="eastAsia" w:ascii="方正楷体_GBK" w:hAnsi="方正楷体_GBK" w:eastAsia="方正楷体_GBK" w:cs="方正楷体_GBK"/>
          <w:b/>
          <w:bCs/>
          <w:color w:val="000000" w:themeColor="text1"/>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highlight w:val="none"/>
          <w:lang w:val="en-US" w:eastAsia="zh-CN"/>
          <w14:textFill>
            <w14:solidFill>
              <w14:schemeClr w14:val="tx1"/>
            </w14:solidFill>
          </w14:textFill>
        </w:rPr>
        <w:t>耒阳市城乡开发建设有限公司：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auto"/>
          <w:sz w:val="32"/>
          <w:szCs w:val="32"/>
          <w:lang w:eastAsia="zh-CN"/>
        </w:rPr>
        <w:t>你公司报送由</w:t>
      </w:r>
      <w:r>
        <w:rPr>
          <w:rFonts w:hint="eastAsia" w:ascii="仿宋" w:hAnsi="仿宋" w:eastAsia="仿宋" w:cs="仿宋"/>
          <w:color w:val="000000" w:themeColor="text1"/>
          <w:sz w:val="32"/>
          <w:szCs w:val="32"/>
          <w:highlight w:val="none"/>
          <w:lang w:val="en-US" w:eastAsia="zh-CN"/>
          <w14:textFill>
            <w14:solidFill>
              <w14:schemeClr w14:val="tx1"/>
            </w14:solidFill>
          </w14:textFill>
        </w:rPr>
        <w:t>湖南振德环保科技有限公司编制的《耒阳市国展高级中学建设项目环境影响报告表》（以下简称《报告表》）</w:t>
      </w:r>
      <w:r>
        <w:rPr>
          <w:rFonts w:hint="eastAsia" w:ascii="仿宋" w:hAnsi="仿宋" w:eastAsia="仿宋" w:cs="仿宋"/>
          <w:color w:val="auto"/>
          <w:sz w:val="32"/>
          <w:szCs w:val="32"/>
          <w:lang w:eastAsia="zh-CN"/>
        </w:rPr>
        <w:t>和专家评审意见收悉，经研究，批复如下：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一、耒阳市城乡开发建设有限公司</w:t>
      </w:r>
      <w:r>
        <w:rPr>
          <w:rFonts w:hint="eastAsia" w:ascii="仿宋" w:hAnsi="仿宋" w:eastAsia="仿宋" w:cs="仿宋"/>
          <w:sz w:val="32"/>
          <w:szCs w:val="32"/>
          <w:lang w:val="en-US" w:eastAsia="zh-CN"/>
        </w:rPr>
        <w:t>总</w:t>
      </w:r>
      <w:r>
        <w:rPr>
          <w:rFonts w:hint="eastAsia" w:ascii="仿宋" w:hAnsi="仿宋" w:eastAsia="仿宋" w:cs="仿宋"/>
          <w:sz w:val="32"/>
          <w:szCs w:val="32"/>
        </w:rPr>
        <w:t>投资1</w:t>
      </w:r>
      <w:r>
        <w:rPr>
          <w:rFonts w:hint="eastAsia" w:ascii="仿宋" w:hAnsi="仿宋" w:eastAsia="仿宋" w:cs="仿宋"/>
          <w:sz w:val="32"/>
          <w:szCs w:val="32"/>
          <w:lang w:val="en-US" w:eastAsia="zh-CN"/>
        </w:rPr>
        <w:t>9</w:t>
      </w:r>
      <w:r>
        <w:rPr>
          <w:rFonts w:hint="eastAsia" w:ascii="仿宋" w:hAnsi="仿宋" w:eastAsia="仿宋" w:cs="仿宋"/>
          <w:sz w:val="32"/>
          <w:szCs w:val="32"/>
        </w:rPr>
        <w:t>000万元（其中环保投资</w:t>
      </w:r>
      <w:r>
        <w:rPr>
          <w:rFonts w:hint="eastAsia" w:ascii="仿宋" w:hAnsi="仿宋" w:eastAsia="仿宋" w:cs="仿宋"/>
          <w:sz w:val="32"/>
          <w:szCs w:val="32"/>
          <w:lang w:val="en-US" w:eastAsia="zh-CN"/>
        </w:rPr>
        <w:t>431</w:t>
      </w:r>
      <w:r>
        <w:rPr>
          <w:rFonts w:hint="eastAsia" w:ascii="仿宋" w:hAnsi="仿宋" w:eastAsia="仿宋" w:cs="仿宋"/>
          <w:sz w:val="32"/>
          <w:szCs w:val="32"/>
        </w:rPr>
        <w:t>万元，占总投资的</w:t>
      </w:r>
      <w:r>
        <w:rPr>
          <w:rFonts w:hint="eastAsia" w:ascii="仿宋" w:hAnsi="仿宋" w:eastAsia="仿宋" w:cs="仿宋"/>
          <w:sz w:val="32"/>
          <w:szCs w:val="32"/>
          <w:lang w:val="en-US" w:eastAsia="zh-CN"/>
        </w:rPr>
        <w:t>2.27</w:t>
      </w:r>
      <w:r>
        <w:rPr>
          <w:rFonts w:hint="eastAsia" w:ascii="仿宋" w:hAnsi="仿宋" w:eastAsia="仿宋" w:cs="仿宋"/>
          <w:sz w:val="32"/>
          <w:szCs w:val="32"/>
        </w:rPr>
        <w:t>%）</w:t>
      </w:r>
      <w:r>
        <w:rPr>
          <w:rFonts w:hint="eastAsia" w:ascii="仿宋" w:hAnsi="仿宋" w:eastAsia="仿宋" w:cs="仿宋"/>
          <w:sz w:val="32"/>
          <w:szCs w:val="32"/>
          <w:lang w:val="en-US" w:eastAsia="zh-CN"/>
        </w:rPr>
        <w:t>在</w:t>
      </w:r>
      <w:r>
        <w:rPr>
          <w:rFonts w:hint="eastAsia" w:ascii="仿宋" w:hAnsi="仿宋" w:eastAsia="仿宋" w:cs="仿宋"/>
          <w:color w:val="000000" w:themeColor="text1"/>
          <w:sz w:val="32"/>
          <w:szCs w:val="32"/>
          <w:highlight w:val="none"/>
          <w:lang w:val="en-US" w:eastAsia="zh-CN"/>
          <w14:textFill>
            <w14:solidFill>
              <w14:schemeClr w14:val="tx1"/>
            </w14:solidFill>
          </w14:textFill>
        </w:rPr>
        <w:t>湖南省衡阳市耒阳市武广新城片区主城区西南侧建设耒阳市国展高级中学。项目占地面积70869m</w:t>
      </w:r>
      <w:r>
        <w:rPr>
          <w:rFonts w:hint="eastAsia" w:ascii="仿宋" w:hAnsi="仿宋" w:eastAsia="仿宋" w:cs="仿宋"/>
          <w:color w:val="000000" w:themeColor="text1"/>
          <w:sz w:val="32"/>
          <w:szCs w:val="32"/>
          <w:highlight w:val="none"/>
          <w:vertAlign w:val="superscript"/>
          <w:lang w:val="en-US" w:eastAsia="zh-CN"/>
          <w14:textFill>
            <w14:solidFill>
              <w14:schemeClr w14:val="tx1"/>
            </w14:solidFill>
          </w14:textFill>
        </w:rPr>
        <w:t>2</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default" w:ascii="仿宋" w:hAnsi="仿宋" w:eastAsia="仿宋" w:cs="仿宋"/>
          <w:color w:val="000000" w:themeColor="text1"/>
          <w:sz w:val="32"/>
          <w:szCs w:val="32"/>
          <w:highlight w:val="none"/>
          <w:lang w:val="en-US" w:eastAsia="zh-CN"/>
          <w14:textFill>
            <w14:solidFill>
              <w14:schemeClr w14:val="tx1"/>
            </w14:solidFill>
          </w14:textFill>
        </w:rPr>
        <w:t>总建筑面积</w:t>
      </w:r>
      <w:r>
        <w:rPr>
          <w:rFonts w:hint="eastAsia" w:ascii="仿宋" w:hAnsi="仿宋" w:eastAsia="仿宋" w:cs="仿宋"/>
          <w:color w:val="000000" w:themeColor="text1"/>
          <w:sz w:val="32"/>
          <w:szCs w:val="32"/>
          <w:highlight w:val="none"/>
          <w:lang w:val="en-US" w:eastAsia="zh-CN"/>
          <w14:textFill>
            <w14:solidFill>
              <w14:schemeClr w14:val="tx1"/>
            </w14:solidFill>
          </w14:textFill>
        </w:rPr>
        <w:t>56805m</w:t>
      </w:r>
      <w:r>
        <w:rPr>
          <w:rFonts w:hint="eastAsia" w:ascii="仿宋" w:hAnsi="仿宋" w:eastAsia="仿宋" w:cs="仿宋"/>
          <w:color w:val="000000" w:themeColor="text1"/>
          <w:sz w:val="32"/>
          <w:szCs w:val="32"/>
          <w:highlight w:val="none"/>
          <w:vertAlign w:val="superscript"/>
          <w:lang w:val="en-US" w:eastAsia="zh-CN"/>
          <w14:textFill>
            <w14:solidFill>
              <w14:schemeClr w14:val="tx1"/>
            </w14:solidFill>
          </w14:textFill>
        </w:rPr>
        <w:t>2</w:t>
      </w:r>
      <w:r>
        <w:rPr>
          <w:rFonts w:hint="eastAsia" w:ascii="仿宋" w:hAnsi="仿宋" w:eastAsia="仿宋" w:cs="仿宋"/>
          <w:color w:val="000000" w:themeColor="text1"/>
          <w:sz w:val="32"/>
          <w:szCs w:val="32"/>
          <w:highlight w:val="none"/>
          <w:lang w:val="en-US" w:eastAsia="zh-CN"/>
          <w14:textFill>
            <w14:solidFill>
              <w14:schemeClr w14:val="tx1"/>
            </w14:solidFill>
          </w14:textFill>
        </w:rPr>
        <w:t>，主要建设内容包括1栋行政综合楼（一层为</w:t>
      </w:r>
      <w:r>
        <w:rPr>
          <w:rFonts w:hint="eastAsia" w:ascii="仿宋" w:hAnsi="仿宋" w:eastAsia="仿宋" w:cs="仿宋"/>
          <w:color w:val="auto"/>
          <w:sz w:val="32"/>
          <w:szCs w:val="32"/>
          <w:highlight w:val="none"/>
          <w:lang w:val="en-US" w:eastAsia="zh-CN"/>
        </w:rPr>
        <w:t>物理、化学、生物</w:t>
      </w:r>
      <w:r>
        <w:rPr>
          <w:rFonts w:hint="eastAsia" w:ascii="仿宋" w:hAnsi="仿宋" w:eastAsia="仿宋" w:cs="仿宋"/>
          <w:color w:val="000000" w:themeColor="text1"/>
          <w:sz w:val="32"/>
          <w:szCs w:val="32"/>
          <w:highlight w:val="none"/>
          <w:lang w:val="en-US" w:eastAsia="zh-CN"/>
          <w14:textFill>
            <w14:solidFill>
              <w14:schemeClr w14:val="tx1"/>
            </w14:solidFill>
          </w14:textFill>
        </w:rPr>
        <w:t>实验室）、3栋教学楼和图书馆、2栋学生宿舍、1栋食堂、1栋教职工宿舍，一个标准400米环形塑胶田径运动场以及篮球场、排球场等，配套辅助工程，公用工程，环保设施等，</w:t>
      </w:r>
      <w:r>
        <w:rPr>
          <w:rFonts w:hint="eastAsia" w:ascii="仿宋" w:hAnsi="仿宋" w:eastAsia="仿宋" w:cs="仿宋"/>
          <w:color w:val="auto"/>
          <w:sz w:val="32"/>
          <w:szCs w:val="32"/>
          <w:highlight w:val="none"/>
          <w:u w:val="none"/>
          <w:lang w:val="en-US" w:eastAsia="zh-CN"/>
        </w:rPr>
        <w:t>设计办学规模为60个班，规划学生人数3000人。</w:t>
      </w:r>
      <w:r>
        <w:rPr>
          <w:rFonts w:hint="eastAsia" w:ascii="仿宋" w:hAnsi="仿宋" w:eastAsia="仿宋" w:cs="仿宋"/>
          <w:color w:val="auto"/>
          <w:sz w:val="32"/>
          <w:szCs w:val="32"/>
          <w:u w:val="none"/>
        </w:rPr>
        <w:t>项目</w:t>
      </w:r>
      <w:r>
        <w:rPr>
          <w:rFonts w:hint="eastAsia" w:ascii="仿宋" w:hAnsi="仿宋" w:eastAsia="仿宋" w:cs="仿宋"/>
          <w:color w:val="auto"/>
          <w:sz w:val="32"/>
          <w:szCs w:val="32"/>
          <w:u w:val="none"/>
          <w:lang w:val="en-US" w:eastAsia="zh-CN"/>
        </w:rPr>
        <w:t>其他</w:t>
      </w:r>
      <w:r>
        <w:rPr>
          <w:rFonts w:hint="eastAsia" w:ascii="仿宋" w:hAnsi="仿宋" w:eastAsia="仿宋" w:cs="仿宋"/>
          <w:color w:val="auto"/>
          <w:sz w:val="32"/>
          <w:szCs w:val="32"/>
        </w:rPr>
        <w:t>建设内容及规模详见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报告表</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根据专家评审意见，原则上同意环评报告表结论。在严格落实环境影响报告表及专家提出的环境保护与污染防治措施后，对周边环境影响可控。从环保角度分析，本项目建设可行，同意该项目建设。</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w:t>
      </w:r>
      <w:r>
        <w:rPr>
          <w:rFonts w:hint="eastAsia" w:ascii="仿宋" w:hAnsi="仿宋" w:eastAsia="仿宋" w:cs="仿宋"/>
          <w:b w:val="0"/>
          <w:bCs w:val="0"/>
          <w:color w:val="auto"/>
          <w:sz w:val="32"/>
          <w:szCs w:val="32"/>
          <w:vertAlign w:val="baseline"/>
          <w:lang w:val="en-US" w:eastAsia="zh-CN"/>
        </w:rPr>
        <w:t>项目建设过程中须做到以下几个方面：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snapToGrid w:val="0"/>
          <w:color w:val="auto"/>
          <w:spacing w:val="0"/>
          <w:kern w:val="0"/>
          <w:sz w:val="32"/>
          <w:szCs w:val="32"/>
        </w:rPr>
        <w:t>做好施工期环境保护工作，落实施工期间各项污染防治措施，减小施工期间施工噪声、废气、废水及固体废物等对周边环境产生的不利影响。</w:t>
      </w:r>
    </w:p>
    <w:p>
      <w:pPr>
        <w:pStyle w:val="18"/>
        <w:keepNext w:val="0"/>
        <w:keepLines w:val="0"/>
        <w:pageBreakBefore w:val="0"/>
        <w:kinsoku/>
        <w:wordWrap/>
        <w:overflowPunct/>
        <w:topLinePunct w:val="0"/>
        <w:autoSpaceDE/>
        <w:autoSpaceDN/>
        <w:bidi w:val="0"/>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三、项目运营期间，应严格落实报告表中的各项污染防治措施，并着重做好以下工作：</w:t>
      </w:r>
    </w:p>
    <w:p>
      <w:pPr>
        <w:pStyle w:val="18"/>
        <w:keepNext w:val="0"/>
        <w:keepLines w:val="0"/>
        <w:pageBreakBefore w:val="0"/>
        <w:kinsoku/>
        <w:wordWrap/>
        <w:overflowPunct/>
        <w:topLinePunct w:val="0"/>
        <w:autoSpaceDE/>
        <w:autoSpaceDN/>
        <w:bidi w:val="0"/>
        <w:spacing w:line="560" w:lineRule="exact"/>
        <w:ind w:left="0" w:leftChars="0" w:firstLine="640" w:firstLineChars="200"/>
        <w:jc w:val="left"/>
        <w:textAlignment w:val="auto"/>
        <w:rPr>
          <w:rFonts w:hint="default"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auto"/>
          <w:sz w:val="32"/>
          <w:szCs w:val="32"/>
        </w:rPr>
        <w:t>落实水污染防治措施</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sz w:val="32"/>
          <w:szCs w:val="32"/>
          <w:lang w:val="en-US" w:eastAsia="zh-CN"/>
        </w:rPr>
        <w:t>按照“清污分流、雨污分流”原则，完善排水系统。</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生活污水经化粪池、食堂废水经隔油池、实验废水经中和处理，</w:t>
      </w:r>
      <w:r>
        <w:rPr>
          <w:rFonts w:hint="eastAsia" w:ascii="仿宋_GB2312" w:hAnsi="宋体" w:eastAsia="仿宋_GB2312" w:cs="宋体"/>
          <w:sz w:val="32"/>
          <w:szCs w:val="32"/>
        </w:rPr>
        <w:t>达</w:t>
      </w:r>
      <w:r>
        <w:rPr>
          <w:rFonts w:hint="eastAsia" w:ascii="仿宋_GB2312" w:hAnsi="宋体" w:eastAsia="仿宋_GB2312" w:cs="宋体"/>
          <w:sz w:val="32"/>
          <w:szCs w:val="32"/>
          <w:lang w:val="en-US" w:eastAsia="zh-CN"/>
        </w:rPr>
        <w:t>到</w:t>
      </w:r>
      <w:r>
        <w:rPr>
          <w:rFonts w:hint="eastAsia" w:ascii="仿宋" w:hAnsi="仿宋" w:eastAsia="仿宋" w:cs="仿宋"/>
          <w:color w:val="000000" w:themeColor="text1"/>
          <w:sz w:val="32"/>
          <w:szCs w:val="32"/>
          <w:highlight w:val="none"/>
          <w14:textFill>
            <w14:solidFill>
              <w14:schemeClr w14:val="tx1"/>
            </w14:solidFill>
          </w14:textFill>
        </w:rPr>
        <w:t>《污水综合排放标准》</w:t>
      </w:r>
      <w:bookmarkStart w:id="0" w:name="_GoBack"/>
      <w:bookmarkEnd w:id="0"/>
      <w:r>
        <w:rPr>
          <w:rFonts w:hint="eastAsia" w:ascii="仿宋" w:hAnsi="仿宋" w:eastAsia="仿宋" w:cs="仿宋"/>
          <w:color w:val="000000" w:themeColor="text1"/>
          <w:sz w:val="32"/>
          <w:szCs w:val="32"/>
          <w:highlight w:val="none"/>
          <w14:textFill>
            <w14:solidFill>
              <w14:schemeClr w14:val="tx1"/>
            </w14:solidFill>
          </w14:textFill>
        </w:rPr>
        <w:t>（GB8978-1996）中三级标准</w:t>
      </w:r>
      <w:r>
        <w:rPr>
          <w:rFonts w:hint="eastAsia" w:ascii="仿宋" w:hAnsi="仿宋" w:eastAsia="仿宋" w:cs="仿宋"/>
          <w:color w:val="000000" w:themeColor="text1"/>
          <w:sz w:val="32"/>
          <w:szCs w:val="32"/>
          <w:highlight w:val="none"/>
          <w:lang w:val="en-US" w:eastAsia="zh-CN"/>
          <w14:textFill>
            <w14:solidFill>
              <w14:schemeClr w14:val="tx1"/>
            </w14:solidFill>
          </w14:textFill>
        </w:rPr>
        <w:t>后，通过自建管道接入</w:t>
      </w:r>
      <w:r>
        <w:rPr>
          <w:rFonts w:hint="eastAsia" w:ascii="仿宋" w:hAnsi="仿宋" w:eastAsia="仿宋" w:cs="仿宋"/>
          <w:sz w:val="32"/>
          <w:szCs w:val="32"/>
          <w:lang w:val="en-US" w:eastAsia="zh-CN"/>
        </w:rPr>
        <w:t>市政污水管网后，</w:t>
      </w:r>
      <w:r>
        <w:rPr>
          <w:rFonts w:hint="eastAsia" w:ascii="仿宋" w:hAnsi="仿宋" w:eastAsia="仿宋" w:cs="仿宋"/>
          <w:color w:val="000000" w:themeColor="text1"/>
          <w:sz w:val="32"/>
          <w:szCs w:val="32"/>
          <w:highlight w:val="none"/>
          <w:lang w:val="en-US" w:eastAsia="zh-CN"/>
          <w14:textFill>
            <w14:solidFill>
              <w14:schemeClr w14:val="tx1"/>
            </w14:solidFill>
          </w14:textFill>
        </w:rPr>
        <w:t>排入白洋渡污水处理厂处理。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sz w:val="32"/>
          <w:szCs w:val="32"/>
          <w:u w:val="none"/>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落实大气污染防治措施</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实验废气经通风橱收集引至楼顶排放（排气筒出口距离地面25m），执行《大气污染物综合排放标准》（GB16297-1996）中表2二级标准要求；</w:t>
      </w:r>
      <w:r>
        <w:rPr>
          <w:rFonts w:hint="eastAsia" w:ascii="仿宋" w:hAnsi="仿宋" w:eastAsia="仿宋" w:cs="仿宋"/>
          <w:bCs/>
          <w:snapToGrid/>
          <w:color w:val="auto"/>
          <w:kern w:val="2"/>
          <w:sz w:val="32"/>
          <w:szCs w:val="32"/>
        </w:rPr>
        <w:t>食堂油烟</w:t>
      </w:r>
      <w:r>
        <w:rPr>
          <w:rFonts w:hint="eastAsia" w:ascii="仿宋" w:hAnsi="仿宋" w:eastAsia="仿宋" w:cs="仿宋"/>
          <w:bCs/>
          <w:snapToGrid/>
          <w:color w:val="auto"/>
          <w:kern w:val="2"/>
          <w:sz w:val="32"/>
          <w:szCs w:val="32"/>
          <w:lang w:eastAsia="zh-CN"/>
        </w:rPr>
        <w:t>通过</w:t>
      </w:r>
      <w:r>
        <w:rPr>
          <w:rFonts w:hint="eastAsia" w:ascii="仿宋" w:hAnsi="仿宋" w:eastAsia="仿宋" w:cs="仿宋"/>
          <w:bCs/>
          <w:snapToGrid/>
          <w:color w:val="auto"/>
          <w:kern w:val="2"/>
          <w:sz w:val="32"/>
          <w:szCs w:val="32"/>
        </w:rPr>
        <w:t>油烟净化装置处理达到《饮食业油烟排放标准》(GB18483-2001)</w:t>
      </w:r>
      <w:r>
        <w:rPr>
          <w:rFonts w:hint="eastAsia" w:ascii="仿宋" w:hAnsi="仿宋" w:eastAsia="仿宋" w:cs="仿宋"/>
          <w:bCs/>
          <w:snapToGrid/>
          <w:color w:val="auto"/>
          <w:kern w:val="2"/>
          <w:sz w:val="32"/>
          <w:szCs w:val="32"/>
          <w:lang w:eastAsia="zh-CN"/>
        </w:rPr>
        <w:t>后</w:t>
      </w:r>
      <w:r>
        <w:rPr>
          <w:rFonts w:hint="eastAsia" w:ascii="仿宋" w:hAnsi="仿宋" w:eastAsia="仿宋" w:cs="仿宋"/>
          <w:bCs/>
          <w:snapToGrid/>
          <w:color w:val="auto"/>
          <w:kern w:val="2"/>
          <w:sz w:val="32"/>
          <w:szCs w:val="32"/>
          <w:highlight w:val="none"/>
          <w:lang w:eastAsia="zh-CN"/>
        </w:rPr>
        <w:t>引</w:t>
      </w:r>
      <w:r>
        <w:rPr>
          <w:rFonts w:hint="eastAsia" w:ascii="仿宋" w:hAnsi="仿宋" w:eastAsia="仿宋" w:cs="仿宋"/>
          <w:bCs/>
          <w:snapToGrid/>
          <w:color w:val="auto"/>
          <w:kern w:val="2"/>
          <w:sz w:val="32"/>
          <w:szCs w:val="32"/>
          <w:highlight w:val="none"/>
        </w:rPr>
        <w:t>至</w:t>
      </w:r>
      <w:r>
        <w:rPr>
          <w:rFonts w:hint="eastAsia" w:ascii="仿宋" w:hAnsi="仿宋" w:eastAsia="仿宋" w:cs="仿宋"/>
          <w:bCs/>
          <w:snapToGrid/>
          <w:color w:val="auto"/>
          <w:kern w:val="2"/>
          <w:sz w:val="32"/>
          <w:szCs w:val="32"/>
        </w:rPr>
        <w:t>楼顶排放</w:t>
      </w:r>
      <w:r>
        <w:rPr>
          <w:rFonts w:hint="eastAsia" w:ascii="仿宋" w:hAnsi="仿宋" w:eastAsia="仿宋" w:cs="仿宋"/>
          <w:bCs/>
          <w:snapToGrid/>
          <w:color w:val="auto"/>
          <w:kern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落实噪声污染防治措施。合理</w:t>
      </w:r>
      <w:r>
        <w:rPr>
          <w:rFonts w:hint="eastAsia" w:ascii="仿宋" w:hAnsi="仿宋" w:eastAsia="仿宋" w:cs="仿宋"/>
          <w:color w:val="auto"/>
          <w:sz w:val="32"/>
          <w:szCs w:val="32"/>
          <w:lang w:val="en-US" w:eastAsia="zh-CN"/>
        </w:rPr>
        <w:t>布局</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highlight w:val="none"/>
          <w:lang w:eastAsia="zh-CN"/>
          <w14:textFill>
            <w14:solidFill>
              <w14:schemeClr w14:val="tx1"/>
            </w14:solidFill>
          </w14:textFill>
        </w:rPr>
        <w:t>认真落实《报告表》提出的各项噪声污染防治措施，加强营运期环境管理，</w:t>
      </w:r>
      <w:r>
        <w:rPr>
          <w:rFonts w:hint="eastAsia" w:ascii="仿宋" w:hAnsi="仿宋" w:eastAsia="仿宋" w:cs="仿宋"/>
          <w:color w:val="000000" w:themeColor="text1"/>
          <w:sz w:val="32"/>
          <w:szCs w:val="32"/>
          <w:highlight w:val="none"/>
          <w14:textFill>
            <w14:solidFill>
              <w14:schemeClr w14:val="tx1"/>
            </w14:solidFill>
          </w14:textFill>
        </w:rPr>
        <w:t>学校边界噪声满足《工业企业厂界环境噪声排放标准》（GB12348-2008）中1 类标准</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落实固体废物分类管理措施。</w:t>
      </w:r>
      <w:r>
        <w:rPr>
          <w:rFonts w:hint="eastAsia" w:ascii="仿宋" w:hAnsi="仿宋" w:eastAsia="仿宋" w:cs="仿宋"/>
          <w:color w:val="000000" w:themeColor="text1"/>
          <w:sz w:val="32"/>
          <w:szCs w:val="32"/>
          <w:highlight w:val="none"/>
          <w14:textFill>
            <w14:solidFill>
              <w14:schemeClr w14:val="tx1"/>
            </w14:solidFill>
          </w14:textFill>
        </w:rPr>
        <w:t>实验室</w:t>
      </w:r>
      <w:r>
        <w:rPr>
          <w:rFonts w:hint="eastAsia" w:ascii="仿宋" w:hAnsi="仿宋" w:eastAsia="仿宋" w:cs="仿宋"/>
          <w:color w:val="000000" w:themeColor="text1"/>
          <w:sz w:val="32"/>
          <w:szCs w:val="32"/>
          <w:highlight w:val="none"/>
          <w:lang w:val="en-US" w:eastAsia="zh-CN"/>
          <w14:textFill>
            <w14:solidFill>
              <w14:schemeClr w14:val="tx1"/>
            </w14:solidFill>
          </w14:textFill>
        </w:rPr>
        <w:t>废包装、废试剂瓶、废容器、实验室废料（含试剂）、有害物质的固体样本、重金属实验废料、变质失效实验试剂</w:t>
      </w:r>
      <w:r>
        <w:rPr>
          <w:rFonts w:hint="eastAsia" w:ascii="仿宋" w:hAnsi="仿宋" w:eastAsia="仿宋" w:cs="仿宋"/>
          <w:color w:val="000000" w:themeColor="text1"/>
          <w:sz w:val="32"/>
          <w:szCs w:val="32"/>
          <w:highlight w:val="none"/>
          <w14:textFill>
            <w14:solidFill>
              <w14:schemeClr w14:val="tx1"/>
            </w14:solidFill>
          </w14:textFill>
        </w:rPr>
        <w:t>以及</w:t>
      </w:r>
      <w:r>
        <w:rPr>
          <w:rFonts w:hint="eastAsia" w:ascii="仿宋" w:hAnsi="仿宋" w:eastAsia="仿宋" w:cs="仿宋"/>
          <w:color w:val="000000" w:themeColor="text1"/>
          <w:sz w:val="32"/>
          <w:szCs w:val="32"/>
          <w:highlight w:val="none"/>
          <w:lang w:eastAsia="zh-CN"/>
          <w14:textFill>
            <w14:solidFill>
              <w14:schemeClr w14:val="tx1"/>
            </w14:solidFill>
          </w14:textFill>
        </w:rPr>
        <w:t>废旧灯管等</w:t>
      </w:r>
      <w:r>
        <w:rPr>
          <w:rFonts w:hint="eastAsia" w:ascii="仿宋" w:hAnsi="仿宋" w:eastAsia="仿宋" w:cs="仿宋"/>
          <w:color w:val="000000" w:themeColor="text1"/>
          <w:sz w:val="32"/>
          <w:szCs w:val="32"/>
          <w:highlight w:val="none"/>
          <w14:textFill>
            <w14:solidFill>
              <w14:schemeClr w14:val="tx1"/>
            </w14:solidFill>
          </w14:textFill>
        </w:rPr>
        <w:t>危险废物</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auto"/>
          <w:sz w:val="32"/>
          <w:szCs w:val="32"/>
          <w:highlight w:val="none"/>
        </w:rPr>
        <w:t>按照</w:t>
      </w:r>
      <w:r>
        <w:rPr>
          <w:rFonts w:hint="eastAsia" w:ascii="仿宋" w:hAnsi="仿宋" w:eastAsia="仿宋" w:cs="仿宋"/>
          <w:color w:val="auto"/>
          <w:sz w:val="32"/>
          <w:szCs w:val="32"/>
        </w:rPr>
        <w:t>《危险废物贮存污染控制标准》（GB18597-20</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要</w:t>
      </w:r>
      <w:r>
        <w:rPr>
          <w:rFonts w:hint="eastAsia" w:ascii="仿宋_GB2312" w:hAnsi="仿宋_GB2312" w:eastAsia="仿宋_GB2312" w:cs="仿宋_GB2312"/>
          <w:color w:val="auto"/>
          <w:sz w:val="32"/>
          <w:szCs w:val="32"/>
          <w:highlight w:val="none"/>
        </w:rPr>
        <w:t>求进行暂存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转运及处置</w:t>
      </w:r>
      <w:r>
        <w:rPr>
          <w:rFonts w:hint="eastAsia" w:ascii="仿宋_GB2312" w:hAnsi="仿宋_GB2312" w:eastAsia="仿宋_GB2312" w:cs="仿宋_GB2312"/>
          <w:color w:val="auto"/>
          <w:sz w:val="32"/>
          <w:szCs w:val="32"/>
          <w:highlight w:val="none"/>
          <w:lang w:eastAsia="zh-CN"/>
        </w:rPr>
        <w:t>，</w:t>
      </w:r>
      <w:r>
        <w:rPr>
          <w:rFonts w:hint="eastAsia" w:ascii="仿宋" w:hAnsi="仿宋" w:eastAsia="仿宋" w:cs="仿宋"/>
          <w:color w:val="000000" w:themeColor="text1"/>
          <w:sz w:val="32"/>
          <w:szCs w:val="32"/>
          <w:highlight w:val="none"/>
          <w:lang w:eastAsia="zh-CN"/>
          <w14:textFill>
            <w14:solidFill>
              <w14:schemeClr w14:val="tx1"/>
            </w14:solidFill>
          </w14:textFill>
        </w:rPr>
        <w:t>分类收集暂存于危废暂存间，</w:t>
      </w:r>
      <w:r>
        <w:rPr>
          <w:rFonts w:hint="eastAsia" w:ascii="仿宋" w:hAnsi="仿宋" w:eastAsia="仿宋" w:cs="仿宋"/>
          <w:color w:val="000000" w:themeColor="text1"/>
          <w:sz w:val="32"/>
          <w:szCs w:val="32"/>
          <w:highlight w:val="none"/>
          <w:lang w:val="en-US" w:eastAsia="zh-CN"/>
          <w14:textFill>
            <w14:solidFill>
              <w14:schemeClr w14:val="tx1"/>
            </w14:solidFill>
          </w14:textFill>
        </w:rPr>
        <w:t>专人管理、</w:t>
      </w:r>
      <w:r>
        <w:rPr>
          <w:rFonts w:hint="eastAsia" w:ascii="仿宋" w:hAnsi="仿宋" w:eastAsia="仿宋" w:cs="仿宋"/>
          <w:color w:val="auto"/>
          <w:sz w:val="32"/>
          <w:szCs w:val="32"/>
        </w:rPr>
        <w:t>定期委托有资质单位进行处置</w:t>
      </w:r>
      <w:r>
        <w:rPr>
          <w:rFonts w:hint="eastAsia" w:ascii="仿宋" w:hAnsi="仿宋" w:eastAsia="仿宋" w:cs="仿宋"/>
          <w:color w:val="auto"/>
          <w:sz w:val="32"/>
          <w:szCs w:val="32"/>
          <w:lang w:eastAsia="zh-CN"/>
        </w:rPr>
        <w:t>；</w:t>
      </w:r>
      <w:r>
        <w:rPr>
          <w:rFonts w:hint="eastAsia" w:ascii="仿宋" w:hAnsi="仿宋" w:eastAsia="仿宋" w:cs="Times New Roman"/>
          <w:color w:val="auto"/>
          <w:sz w:val="32"/>
          <w:szCs w:val="32"/>
          <w:lang w:val="en-US" w:eastAsia="zh-CN"/>
        </w:rPr>
        <w:t>生活垃圾由当地环卫部门处理。</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auto"/>
          <w:sz w:val="32"/>
          <w:szCs w:val="32"/>
          <w:lang w:val="en-US" w:eastAsia="zh-CN"/>
        </w:rPr>
        <w:t>强化环境风险防控管理，避免突发事故对环境造成污染，制定切实可行的突发事故应急应变措施</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lang w:val="en-US" w:eastAsia="zh-CN"/>
        </w:rPr>
        <w:t>建设单位应在启动生产设施或者在实际排污之前办理排污许可相关手续。项目建设必须严格执行配套的环境保护设施与主体工程同时设计、同时施工、同时投入使用的“三同时”制度。项目竣工后，按照相关规定做好环保竣工验收工作。环境影响报告经批准后，该项目的性质、规模、地点、生产工艺或者防治污染、防止生态破坏的措施发生重大变动的，须重新报批环境影响报告。自环境影响报告批复文件批准之日起，如超过5年方决定工程开工建设的，环境影响报告应当报我局重新审核。日常监管由耒阳生态环境保护综合行政执法大队负责</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5440" w:firstLineChars="1700"/>
        <w:textAlignment w:val="auto"/>
        <w:outlineLvl w:val="0"/>
        <w:rPr>
          <w:rFonts w:hint="eastAsia" w:ascii="仿宋" w:hAnsi="仿宋" w:eastAsia="仿宋" w:cs="仿宋"/>
          <w:color w:val="000000" w:themeColor="text1"/>
          <w:sz w:val="32"/>
          <w:szCs w:val="32"/>
          <w:highlight w:val="none"/>
          <w:lang w:val="zh-CN"/>
          <w14:textFill>
            <w14:solidFill>
              <w14:schemeClr w14:val="tx1"/>
            </w14:solidFill>
          </w14:textFill>
        </w:rPr>
      </w:pPr>
      <w:r>
        <w:rPr>
          <w:rFonts w:hint="eastAsia" w:ascii="仿宋" w:hAnsi="仿宋" w:eastAsia="仿宋" w:cs="仿宋"/>
          <w:color w:val="000000" w:themeColor="text1"/>
          <w:sz w:val="32"/>
          <w:szCs w:val="32"/>
          <w:highlight w:val="none"/>
          <w:lang w:val="zh-CN"/>
          <w14:textFill>
            <w14:solidFill>
              <w14:schemeClr w14:val="tx1"/>
            </w14:solidFill>
          </w14:textFill>
        </w:rPr>
        <w:t>衡阳市生态环境局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color w:val="000000" w:themeColor="text1"/>
          <w:sz w:val="32"/>
          <w:szCs w:val="32"/>
          <w:highlight w:val="none"/>
          <w:lang w:val="zh-CN"/>
          <w14:textFill>
            <w14:solidFill>
              <w14:schemeClr w14:val="tx1"/>
            </w14:solidFill>
          </w14:textFill>
        </w:rPr>
      </w:pPr>
      <w:r>
        <w:rPr>
          <w:rFonts w:hint="eastAsia" w:ascii="仿宋" w:hAnsi="仿宋" w:eastAsia="仿宋" w:cs="仿宋"/>
          <w:color w:val="000000" w:themeColor="text1"/>
          <w:sz w:val="32"/>
          <w:szCs w:val="32"/>
          <w:highlight w:val="none"/>
          <w:lang w:val="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 xml:space="preserve"> </w:t>
      </w:r>
      <w:r>
        <w:rPr>
          <w:rFonts w:hint="eastAsia" w:ascii="仿宋" w:hAnsi="仿宋" w:eastAsia="仿宋" w:cs="仿宋"/>
          <w:color w:val="000000" w:themeColor="text1"/>
          <w:sz w:val="32"/>
          <w:szCs w:val="32"/>
          <w:highlight w:val="none"/>
          <w:lang w:val="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 xml:space="preserve"> </w:t>
      </w:r>
      <w:r>
        <w:rPr>
          <w:rFonts w:hint="eastAsia" w:ascii="仿宋" w:hAnsi="仿宋" w:eastAsia="仿宋" w:cs="仿宋"/>
          <w:color w:val="000000" w:themeColor="text1"/>
          <w:sz w:val="32"/>
          <w:szCs w:val="32"/>
          <w:highlight w:val="none"/>
          <w:lang w:val="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 xml:space="preserve">  </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lang w:val="zh-CN"/>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lang w:val="zh-CN"/>
          <w14:textFill>
            <w14:solidFill>
              <w14:schemeClr w14:val="tx1"/>
            </w14:solidFill>
          </w14:textFill>
        </w:rPr>
        <w:t>月</w:t>
      </w:r>
      <w:r>
        <w:rPr>
          <w:rFonts w:hint="eastAsia" w:ascii="仿宋" w:hAnsi="仿宋" w:eastAsia="仿宋" w:cs="仿宋"/>
          <w:color w:val="000000" w:themeColor="text1"/>
          <w:sz w:val="32"/>
          <w:szCs w:val="32"/>
          <w:highlight w:val="none"/>
          <w:lang w:val="en-US" w:eastAsia="zh-CN"/>
          <w14:textFill>
            <w14:solidFill>
              <w14:schemeClr w14:val="tx1"/>
            </w14:solidFill>
          </w14:textFill>
        </w:rPr>
        <w:t>21</w:t>
      </w:r>
      <w:r>
        <w:rPr>
          <w:rFonts w:hint="eastAsia" w:ascii="仿宋" w:hAnsi="仿宋" w:eastAsia="仿宋" w:cs="仿宋"/>
          <w:color w:val="000000" w:themeColor="text1"/>
          <w:sz w:val="32"/>
          <w:szCs w:val="32"/>
          <w:highlight w:val="none"/>
          <w:lang w:val="zh-CN"/>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1" w:fontKey="{B86AA9D7-C9CF-4377-9D1E-7AD0C6395165}"/>
  </w:font>
  <w:font w:name="仿宋_GB2312">
    <w:altName w:val="仿宋"/>
    <w:panose1 w:val="02010609030101010101"/>
    <w:charset w:val="86"/>
    <w:family w:val="modern"/>
    <w:pitch w:val="default"/>
    <w:sig w:usb0="00000000" w:usb1="00000000" w:usb2="00000000" w:usb3="00000000" w:csb0="00040000" w:csb1="00000000"/>
    <w:embedRegular r:id="rId2" w:fontKey="{15A76B6D-42EE-45B8-BAA6-8DDED6C993B6}"/>
  </w:font>
  <w:font w:name="方正公文小标宋">
    <w:panose1 w:val="02000500000000000000"/>
    <w:charset w:val="86"/>
    <w:family w:val="auto"/>
    <w:pitch w:val="default"/>
    <w:sig w:usb0="A00002BF" w:usb1="38CF7CFA" w:usb2="00000016" w:usb3="00000000" w:csb0="00040001" w:csb1="00000000"/>
    <w:embedRegular r:id="rId3" w:fontKey="{7AF5C7C1-5A62-45B8-BD40-DEE0315BA22A}"/>
  </w:font>
  <w:font w:name="方正楷体_GBK">
    <w:panose1 w:val="02000000000000000000"/>
    <w:charset w:val="86"/>
    <w:family w:val="auto"/>
    <w:pitch w:val="default"/>
    <w:sig w:usb0="800002BF" w:usb1="38CF7CFA" w:usb2="00000016" w:usb3="00000000" w:csb0="00040000" w:csb1="00000000"/>
    <w:embedRegular r:id="rId4" w:fontKey="{EB01AE6B-A7D7-4D0C-B200-4692FC0EF6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5"/>
      <w:numFmt w:val="decimal"/>
      <w:pStyle w:val="12"/>
      <w:lvlText w:val="%1"/>
      <w:lvlJc w:val="left"/>
      <w:pPr>
        <w:tabs>
          <w:tab w:val="left" w:pos="360"/>
        </w:tabs>
        <w:ind w:left="428" w:hanging="360"/>
      </w:pPr>
      <w:rPr>
        <w:rFonts w:hint="default" w:cs="Times New Roman"/>
      </w:rPr>
    </w:lvl>
    <w:lvl w:ilvl="1" w:tentative="0">
      <w:start w:val="1"/>
      <w:numFmt w:val="lowerLetter"/>
      <w:lvlText w:val="%2)"/>
      <w:lvlJc w:val="left"/>
      <w:pPr>
        <w:tabs>
          <w:tab w:val="left" w:pos="840"/>
        </w:tabs>
        <w:ind w:left="908" w:hanging="420"/>
      </w:pPr>
      <w:rPr>
        <w:rFonts w:cs="Times New Roman"/>
      </w:rPr>
    </w:lvl>
    <w:lvl w:ilvl="2" w:tentative="0">
      <w:start w:val="1"/>
      <w:numFmt w:val="lowerRoman"/>
      <w:lvlText w:val="%3."/>
      <w:lvlJc w:val="right"/>
      <w:pPr>
        <w:tabs>
          <w:tab w:val="left" w:pos="1260"/>
        </w:tabs>
        <w:ind w:left="1328" w:hanging="420"/>
      </w:pPr>
      <w:rPr>
        <w:rFonts w:cs="Times New Roman"/>
      </w:rPr>
    </w:lvl>
    <w:lvl w:ilvl="3" w:tentative="0">
      <w:start w:val="1"/>
      <w:numFmt w:val="decimal"/>
      <w:lvlText w:val="%4."/>
      <w:lvlJc w:val="left"/>
      <w:pPr>
        <w:tabs>
          <w:tab w:val="left" w:pos="1680"/>
        </w:tabs>
        <w:ind w:left="1748" w:hanging="420"/>
      </w:pPr>
      <w:rPr>
        <w:rFonts w:cs="Times New Roman"/>
      </w:rPr>
    </w:lvl>
    <w:lvl w:ilvl="4" w:tentative="0">
      <w:start w:val="1"/>
      <w:numFmt w:val="lowerLetter"/>
      <w:lvlText w:val="%5)"/>
      <w:lvlJc w:val="left"/>
      <w:pPr>
        <w:tabs>
          <w:tab w:val="left" w:pos="2100"/>
        </w:tabs>
        <w:ind w:left="2168" w:hanging="420"/>
      </w:pPr>
      <w:rPr>
        <w:rFonts w:cs="Times New Roman"/>
      </w:rPr>
    </w:lvl>
    <w:lvl w:ilvl="5" w:tentative="0">
      <w:start w:val="1"/>
      <w:numFmt w:val="lowerRoman"/>
      <w:lvlText w:val="%6."/>
      <w:lvlJc w:val="right"/>
      <w:pPr>
        <w:tabs>
          <w:tab w:val="left" w:pos="2520"/>
        </w:tabs>
        <w:ind w:left="2588" w:hanging="420"/>
      </w:pPr>
      <w:rPr>
        <w:rFonts w:cs="Times New Roman"/>
      </w:rPr>
    </w:lvl>
    <w:lvl w:ilvl="6" w:tentative="0">
      <w:start w:val="1"/>
      <w:numFmt w:val="decimal"/>
      <w:lvlText w:val="%7."/>
      <w:lvlJc w:val="left"/>
      <w:pPr>
        <w:tabs>
          <w:tab w:val="left" w:pos="2940"/>
        </w:tabs>
        <w:ind w:left="3008" w:hanging="420"/>
      </w:pPr>
      <w:rPr>
        <w:rFonts w:cs="Times New Roman"/>
      </w:rPr>
    </w:lvl>
    <w:lvl w:ilvl="7" w:tentative="0">
      <w:start w:val="1"/>
      <w:numFmt w:val="lowerLetter"/>
      <w:lvlText w:val="%8)"/>
      <w:lvlJc w:val="left"/>
      <w:pPr>
        <w:tabs>
          <w:tab w:val="left" w:pos="3360"/>
        </w:tabs>
        <w:ind w:left="3428" w:hanging="420"/>
      </w:pPr>
      <w:rPr>
        <w:rFonts w:cs="Times New Roman"/>
      </w:rPr>
    </w:lvl>
    <w:lvl w:ilvl="8" w:tentative="0">
      <w:start w:val="1"/>
      <w:numFmt w:val="lowerRoman"/>
      <w:lvlText w:val="%9."/>
      <w:lvlJc w:val="right"/>
      <w:pPr>
        <w:tabs>
          <w:tab w:val="left" w:pos="3780"/>
        </w:tabs>
        <w:ind w:left="3848"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YmVmOGVkNGQ0M2MyYTI4ZjUwZWZkOWM0MWJlNTEifQ=="/>
  </w:docVars>
  <w:rsids>
    <w:rsidRoot w:val="667A4D6C"/>
    <w:rsid w:val="00015EF5"/>
    <w:rsid w:val="012022EC"/>
    <w:rsid w:val="01563243"/>
    <w:rsid w:val="015B1BFA"/>
    <w:rsid w:val="01716735"/>
    <w:rsid w:val="03660650"/>
    <w:rsid w:val="04770087"/>
    <w:rsid w:val="054A2ADA"/>
    <w:rsid w:val="05C0648D"/>
    <w:rsid w:val="06436B52"/>
    <w:rsid w:val="07607AC8"/>
    <w:rsid w:val="07797C3A"/>
    <w:rsid w:val="0868752A"/>
    <w:rsid w:val="0EA33B28"/>
    <w:rsid w:val="101C6994"/>
    <w:rsid w:val="11494D4F"/>
    <w:rsid w:val="116E48C1"/>
    <w:rsid w:val="12C02EFB"/>
    <w:rsid w:val="134710B9"/>
    <w:rsid w:val="13CA017F"/>
    <w:rsid w:val="140849A4"/>
    <w:rsid w:val="142369B6"/>
    <w:rsid w:val="142C4E6C"/>
    <w:rsid w:val="187B20A7"/>
    <w:rsid w:val="18A72612"/>
    <w:rsid w:val="19531188"/>
    <w:rsid w:val="19EF37DD"/>
    <w:rsid w:val="1A41167E"/>
    <w:rsid w:val="1A763240"/>
    <w:rsid w:val="1C9E6A0D"/>
    <w:rsid w:val="1D80531C"/>
    <w:rsid w:val="1DB9298C"/>
    <w:rsid w:val="1EB97181"/>
    <w:rsid w:val="218F5762"/>
    <w:rsid w:val="22BA585A"/>
    <w:rsid w:val="23002281"/>
    <w:rsid w:val="240B6932"/>
    <w:rsid w:val="243266C6"/>
    <w:rsid w:val="28836EDB"/>
    <w:rsid w:val="294C1BE8"/>
    <w:rsid w:val="2ADB7878"/>
    <w:rsid w:val="2B7B1BB4"/>
    <w:rsid w:val="2CC50A75"/>
    <w:rsid w:val="2E720104"/>
    <w:rsid w:val="32DE22DB"/>
    <w:rsid w:val="33AD3342"/>
    <w:rsid w:val="34885E1A"/>
    <w:rsid w:val="37600AA1"/>
    <w:rsid w:val="3BBA0580"/>
    <w:rsid w:val="3CE74BDC"/>
    <w:rsid w:val="3E6D18D9"/>
    <w:rsid w:val="3F6C032A"/>
    <w:rsid w:val="44D51F86"/>
    <w:rsid w:val="4628585D"/>
    <w:rsid w:val="467725BC"/>
    <w:rsid w:val="46F550E3"/>
    <w:rsid w:val="47A85730"/>
    <w:rsid w:val="49635520"/>
    <w:rsid w:val="496B7493"/>
    <w:rsid w:val="4A804ACC"/>
    <w:rsid w:val="4CF95BCB"/>
    <w:rsid w:val="4E043C41"/>
    <w:rsid w:val="4E9E7BFB"/>
    <w:rsid w:val="4F1D6097"/>
    <w:rsid w:val="50164444"/>
    <w:rsid w:val="517558C7"/>
    <w:rsid w:val="52476247"/>
    <w:rsid w:val="543A0504"/>
    <w:rsid w:val="559D5AF9"/>
    <w:rsid w:val="56840B69"/>
    <w:rsid w:val="574A0A51"/>
    <w:rsid w:val="5A6A4736"/>
    <w:rsid w:val="5A8407A5"/>
    <w:rsid w:val="5B28699B"/>
    <w:rsid w:val="5B2B6AD5"/>
    <w:rsid w:val="5BAD33A1"/>
    <w:rsid w:val="5E381B33"/>
    <w:rsid w:val="62172BC6"/>
    <w:rsid w:val="62576B11"/>
    <w:rsid w:val="636415F4"/>
    <w:rsid w:val="64055F8C"/>
    <w:rsid w:val="667A4D6C"/>
    <w:rsid w:val="66B912B0"/>
    <w:rsid w:val="66F61BBC"/>
    <w:rsid w:val="67162367"/>
    <w:rsid w:val="67173AF0"/>
    <w:rsid w:val="679C7030"/>
    <w:rsid w:val="68574864"/>
    <w:rsid w:val="698F6A78"/>
    <w:rsid w:val="701E6E74"/>
    <w:rsid w:val="7097375F"/>
    <w:rsid w:val="734D33E2"/>
    <w:rsid w:val="737F7915"/>
    <w:rsid w:val="75F96CF3"/>
    <w:rsid w:val="769A10A4"/>
    <w:rsid w:val="78810CB6"/>
    <w:rsid w:val="78922E43"/>
    <w:rsid w:val="79A76741"/>
    <w:rsid w:val="7A9008B8"/>
    <w:rsid w:val="7C66112B"/>
    <w:rsid w:val="7CF81D36"/>
    <w:rsid w:val="7FEC6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等线" w:cs="Times New Roman"/>
      <w:kern w:val="2"/>
      <w:sz w:val="21"/>
      <w:szCs w:val="22"/>
      <w:lang w:val="en-US" w:eastAsia="zh-CN" w:bidi="ar-SA"/>
    </w:rPr>
  </w:style>
  <w:style w:type="paragraph" w:styleId="4">
    <w:name w:val="heading 2"/>
    <w:basedOn w:val="1"/>
    <w:next w:val="1"/>
    <w:autoRedefine/>
    <w:qFormat/>
    <w:uiPriority w:val="0"/>
    <w:pPr>
      <w:keepNext/>
      <w:keepLines/>
      <w:spacing w:before="260" w:after="260" w:line="416" w:lineRule="auto"/>
      <w:outlineLvl w:val="1"/>
    </w:pPr>
    <w:rPr>
      <w:rFonts w:ascii="Cambria" w:hAnsi="Cambria"/>
      <w:bCs/>
      <w:sz w:val="28"/>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next w:val="1"/>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autoRedefine/>
    <w:qFormat/>
    <w:uiPriority w:val="0"/>
    <w:rPr>
      <w:rFonts w:ascii="宋体" w:hAnsi="Courier New"/>
    </w:rPr>
  </w:style>
  <w:style w:type="paragraph" w:styleId="5">
    <w:name w:val="Normal Indent"/>
    <w:basedOn w:val="1"/>
    <w:next w:val="1"/>
    <w:autoRedefine/>
    <w:qFormat/>
    <w:uiPriority w:val="0"/>
    <w:pPr>
      <w:ind w:firstLine="420" w:firstLineChars="200"/>
    </w:pPr>
    <w:rPr>
      <w:rFonts w:ascii="Times New Roman" w:hAnsi="Times New Roman"/>
      <w:szCs w:val="20"/>
    </w:rPr>
  </w:style>
  <w:style w:type="paragraph" w:styleId="6">
    <w:name w:val="Body Text"/>
    <w:basedOn w:val="1"/>
    <w:next w:val="1"/>
    <w:autoRedefine/>
    <w:qFormat/>
    <w:uiPriority w:val="99"/>
    <w:pPr>
      <w:spacing w:after="120"/>
    </w:pPr>
    <w:rPr>
      <w:kern w:val="0"/>
      <w:sz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12">
    <w:name w:val="Body Text First Indent 21"/>
    <w:basedOn w:val="13"/>
    <w:autoRedefine/>
    <w:qFormat/>
    <w:uiPriority w:val="99"/>
    <w:pPr>
      <w:numPr>
        <w:ilvl w:val="0"/>
        <w:numId w:val="1"/>
      </w:numPr>
      <w:spacing w:line="360" w:lineRule="auto"/>
      <w:ind w:left="0" w:firstLine="562" w:firstLineChars="200"/>
      <w:jc w:val="left"/>
    </w:pPr>
  </w:style>
  <w:style w:type="paragraph" w:customStyle="1" w:styleId="13">
    <w:name w:val="Body Text Indent1"/>
    <w:basedOn w:val="1"/>
    <w:autoRedefine/>
    <w:qFormat/>
    <w:uiPriority w:val="99"/>
    <w:pPr>
      <w:spacing w:after="120"/>
      <w:ind w:left="420" w:leftChars="200"/>
    </w:pPr>
  </w:style>
  <w:style w:type="paragraph" w:customStyle="1" w:styleId="14">
    <w:name w:val="A正文1"/>
    <w:basedOn w:val="1"/>
    <w:autoRedefine/>
    <w:qFormat/>
    <w:uiPriority w:val="0"/>
    <w:pPr>
      <w:spacing w:line="360" w:lineRule="auto"/>
      <w:ind w:firstLine="480" w:firstLineChars="200"/>
    </w:pPr>
    <w:rPr>
      <w:sz w:val="24"/>
      <w:szCs w:val="28"/>
    </w:rPr>
  </w:style>
  <w:style w:type="paragraph" w:customStyle="1" w:styleId="15">
    <w:name w:val="BG-正文"/>
    <w:basedOn w:val="1"/>
    <w:autoRedefine/>
    <w:semiHidden/>
    <w:qFormat/>
    <w:uiPriority w:val="0"/>
    <w:pPr>
      <w:spacing w:line="360" w:lineRule="auto"/>
      <w:ind w:firstLine="200" w:firstLineChars="200"/>
    </w:pPr>
    <w:rPr>
      <w:color w:val="000000"/>
      <w:sz w:val="24"/>
    </w:rPr>
  </w:style>
  <w:style w:type="paragraph" w:customStyle="1" w:styleId="16">
    <w:name w:val="正文 首行缩进:  2 字符"/>
    <w:basedOn w:val="1"/>
    <w:autoRedefine/>
    <w:qFormat/>
    <w:uiPriority w:val="0"/>
    <w:pPr>
      <w:ind w:firstLine="579" w:firstLineChars="200"/>
    </w:pPr>
    <w:rPr>
      <w:sz w:val="28"/>
      <w:szCs w:val="20"/>
    </w:rPr>
  </w:style>
  <w:style w:type="paragraph" w:customStyle="1" w:styleId="17">
    <w:name w:val="Default1"/>
    <w:autoRedefine/>
    <w:qFormat/>
    <w:uiPriority w:val="0"/>
    <w:pPr>
      <w:widowControl w:val="0"/>
      <w:autoSpaceDE w:val="0"/>
      <w:autoSpaceDN w:val="0"/>
      <w:adjustRightInd w:val="0"/>
      <w:spacing w:line="360" w:lineRule="auto"/>
    </w:pPr>
    <w:rPr>
      <w:rFonts w:ascii="Times New Roman" w:hAnsi="Times New Roman" w:eastAsia="宋体" w:cs="宋体"/>
      <w:color w:val="000000"/>
      <w:sz w:val="24"/>
      <w:szCs w:val="24"/>
      <w:lang w:val="en-US" w:eastAsia="zh-CN" w:bidi="ar-SA"/>
    </w:rPr>
  </w:style>
  <w:style w:type="paragraph" w:customStyle="1" w:styleId="18">
    <w:name w:val="pa-3"/>
    <w:basedOn w:val="1"/>
    <w:autoRedefine/>
    <w:qFormat/>
    <w:uiPriority w:val="0"/>
    <w:pPr>
      <w:widowControl/>
      <w:spacing w:line="360" w:lineRule="atLeast"/>
      <w:ind w:firstLine="640"/>
    </w:pPr>
    <w:rPr>
      <w:rFonts w:ascii="宋体" w:hAnsi="宋体" w:cs="宋体"/>
      <w:kern w:val="0"/>
      <w:sz w:val="24"/>
    </w:rPr>
  </w:style>
  <w:style w:type="paragraph" w:customStyle="1" w:styleId="19">
    <w:name w:val="正文内容"/>
    <w:basedOn w:val="1"/>
    <w:autoRedefine/>
    <w:qFormat/>
    <w:uiPriority w:val="0"/>
    <w:pPr>
      <w:spacing w:line="360" w:lineRule="auto"/>
      <w:ind w:firstLine="200" w:firstLineChars="200"/>
    </w:pPr>
    <w:rPr>
      <w:kern w:val="0"/>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1828</Words>
  <Characters>1886</Characters>
  <Lines>0</Lines>
  <Paragraphs>0</Paragraphs>
  <TotalTime>15</TotalTime>
  <ScaleCrop>false</ScaleCrop>
  <LinksUpToDate>false</LinksUpToDate>
  <CharactersWithSpaces>1921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2023-01-03T00:52:00Z</dcterms:created>
  <dc:creator>Administrator</dc:creator>
  <cp:lastModifiedBy>Administrator</cp:lastModifiedBy>
  <cp:lastPrinted>2024-03-18T08:29:47Z</cp:lastPrinted>
  <dcterms:modified xsi:type="dcterms:W3CDTF">2024-03-18T08:32:39Z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7D8A34F1A41C4A65812D8093F46DA070_13</vt:lpwstr>
  </property>
</Properties>
</file>